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46309CF5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DC3186">
        <w:rPr>
          <w:rFonts w:asciiTheme="minorHAnsi" w:hAnsiTheme="minorHAnsi"/>
          <w:b/>
          <w:sz w:val="23"/>
          <w:szCs w:val="23"/>
          <w:u w:val="single"/>
        </w:rPr>
        <w:t>D.4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656A8B77" w:rsidR="00CC7707" w:rsidRPr="00995A98" w:rsidRDefault="00562BD0" w:rsidP="008E41DC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2020 Property Tax Write-Off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5D00D012" w:rsidR="00FA228B" w:rsidRPr="00995A98" w:rsidRDefault="00562BD0" w:rsidP="00562BD0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B14BCB">
              <w:rPr>
                <w:rFonts w:asciiTheme="minorHAnsi" w:hAnsiTheme="minorHAnsi" w:cs="Arial"/>
                <w:sz w:val="23"/>
                <w:szCs w:val="23"/>
              </w:rPr>
              <w:t>That Council authorize the write</w:t>
            </w:r>
            <w:r>
              <w:rPr>
                <w:rFonts w:asciiTheme="minorHAnsi" w:hAnsiTheme="minorHAnsi" w:cs="Arial"/>
                <w:sz w:val="23"/>
                <w:szCs w:val="23"/>
              </w:rPr>
              <w:t>-</w:t>
            </w:r>
            <w:r w:rsidRPr="00B14BCB">
              <w:rPr>
                <w:rFonts w:asciiTheme="minorHAnsi" w:hAnsiTheme="minorHAnsi" w:cs="Arial"/>
                <w:sz w:val="23"/>
                <w:szCs w:val="23"/>
              </w:rPr>
              <w:t xml:space="preserve">off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of </w:t>
            </w:r>
            <w:r w:rsidRPr="00B14BCB">
              <w:rPr>
                <w:rFonts w:asciiTheme="minorHAnsi" w:hAnsiTheme="minorHAnsi" w:cs="Arial"/>
                <w:sz w:val="23"/>
                <w:szCs w:val="23"/>
              </w:rPr>
              <w:t xml:space="preserve">taxes owing in the amount of </w:t>
            </w:r>
            <w:r w:rsidRPr="002A5936">
              <w:rPr>
                <w:rFonts w:asciiTheme="minorHAnsi" w:hAnsiTheme="minorHAnsi" w:cs="Arial"/>
                <w:sz w:val="23"/>
                <w:szCs w:val="23"/>
              </w:rPr>
              <w:t>$</w:t>
            </w:r>
            <w:r w:rsidR="00AF60C3">
              <w:rPr>
                <w:rFonts w:asciiTheme="minorHAnsi" w:hAnsiTheme="minorHAnsi" w:cs="Arial"/>
                <w:sz w:val="23"/>
                <w:szCs w:val="23"/>
              </w:rPr>
              <w:t>555,665.65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as </w:t>
            </w:r>
            <w:r w:rsidRPr="00B14BCB">
              <w:rPr>
                <w:rFonts w:asciiTheme="minorHAnsi" w:hAnsiTheme="minorHAnsi" w:cs="Arial"/>
                <w:sz w:val="23"/>
                <w:szCs w:val="23"/>
              </w:rPr>
              <w:t xml:space="preserve">per the presented tax roll list, as these accounts are no longer 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collectible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327A8C1A" w:rsidR="00D237DC" w:rsidRPr="00995A98" w:rsidRDefault="00562BD0" w:rsidP="0020414F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That Council ensure that Sturgeon County Financial Statements reflect the actual amount of property taxes expected to be collected by writing off taxes owing in accordance with the proposed motion.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61BE5515" w14:textId="3C83F1F8" w:rsidR="00FF23A3" w:rsidRPr="00995A98" w:rsidRDefault="00562BD0" w:rsidP="0020414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None.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62BD0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F94B7E7" w14:textId="77777777" w:rsidR="00562BD0" w:rsidRPr="00995A98" w:rsidRDefault="00562BD0" w:rsidP="00562BD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0760233D" w14:textId="10CCA849" w:rsidR="00562BD0" w:rsidRPr="00843905" w:rsidRDefault="00562BD0" w:rsidP="00562BD0">
            <w:pPr>
              <w:pStyle w:val="BodyText"/>
              <w:numPr>
                <w:ilvl w:val="0"/>
                <w:numId w:val="10"/>
              </w:numPr>
              <w:spacing w:after="8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43905">
              <w:rPr>
                <w:rFonts w:asciiTheme="minorHAnsi" w:hAnsiTheme="minorHAnsi" w:cs="Arial"/>
                <w:sz w:val="23"/>
                <w:szCs w:val="23"/>
              </w:rPr>
              <w:t>The write-off of tax arrears in the amount of $</w:t>
            </w:r>
            <w:r w:rsidR="00872869">
              <w:rPr>
                <w:rFonts w:asciiTheme="minorHAnsi" w:hAnsiTheme="minorHAnsi" w:cs="Arial"/>
                <w:sz w:val="23"/>
                <w:szCs w:val="23"/>
              </w:rPr>
              <w:t>555,665.65</w:t>
            </w:r>
            <w:r w:rsidR="004B1258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843905">
              <w:rPr>
                <w:rFonts w:asciiTheme="minorHAnsi" w:hAnsiTheme="minorHAnsi" w:cs="Arial"/>
                <w:sz w:val="23"/>
                <w:szCs w:val="23"/>
              </w:rPr>
              <w:t>is related to:</w:t>
            </w:r>
          </w:p>
          <w:p w14:paraId="0E349AA1" w14:textId="07C46C2F" w:rsidR="00562BD0" w:rsidRPr="00843905" w:rsidRDefault="00B913A2" w:rsidP="00562BD0">
            <w:pPr>
              <w:pStyle w:val="BodyText"/>
              <w:numPr>
                <w:ilvl w:val="1"/>
                <w:numId w:val="10"/>
              </w:numPr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3</w:t>
            </w:r>
            <w:r w:rsidR="00562BD0" w:rsidRPr="00843905">
              <w:rPr>
                <w:rFonts w:asciiTheme="minorHAnsi" w:hAnsiTheme="minorHAnsi" w:cs="Arial"/>
                <w:sz w:val="23"/>
                <w:szCs w:val="23"/>
              </w:rPr>
              <w:t xml:space="preserve"> Linear accounts;</w:t>
            </w:r>
          </w:p>
          <w:p w14:paraId="131CC033" w14:textId="0FB06DD2" w:rsidR="00562BD0" w:rsidRPr="00843905" w:rsidRDefault="007D3BD8" w:rsidP="00562BD0">
            <w:pPr>
              <w:pStyle w:val="BodyText"/>
              <w:numPr>
                <w:ilvl w:val="1"/>
                <w:numId w:val="10"/>
              </w:numPr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28 </w:t>
            </w:r>
            <w:r w:rsidR="00562BD0" w:rsidRPr="00843905">
              <w:rPr>
                <w:rFonts w:asciiTheme="minorHAnsi" w:hAnsiTheme="minorHAnsi" w:cs="Arial"/>
                <w:sz w:val="23"/>
                <w:szCs w:val="23"/>
              </w:rPr>
              <w:t>Oilfield accounts;</w:t>
            </w:r>
            <w:r w:rsidR="00562BD0">
              <w:rPr>
                <w:rFonts w:asciiTheme="minorHAnsi" w:hAnsiTheme="minorHAnsi" w:cs="Arial"/>
                <w:sz w:val="23"/>
                <w:szCs w:val="23"/>
              </w:rPr>
              <w:t xml:space="preserve"> and</w:t>
            </w:r>
          </w:p>
          <w:p w14:paraId="5106105C" w14:textId="6FE3AA5C" w:rsidR="00562BD0" w:rsidRPr="0093604E" w:rsidRDefault="007D3BD8" w:rsidP="00562BD0">
            <w:pPr>
              <w:pStyle w:val="BodyText"/>
              <w:numPr>
                <w:ilvl w:val="1"/>
                <w:numId w:val="10"/>
              </w:numPr>
              <w:spacing w:after="200" w:line="240" w:lineRule="auto"/>
              <w:ind w:left="107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4</w:t>
            </w:r>
            <w:r w:rsidRPr="008439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62BD0">
              <w:rPr>
                <w:rFonts w:asciiTheme="minorHAnsi" w:hAnsiTheme="minorHAnsi" w:cs="Arial"/>
                <w:sz w:val="23"/>
                <w:szCs w:val="23"/>
              </w:rPr>
              <w:t>Designated Industrial Properties</w:t>
            </w:r>
            <w:r w:rsidR="00562BD0" w:rsidRPr="0084390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70AE7D39" w14:textId="782D869E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All rolls are owned by 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10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companies that have filed for protection under the </w:t>
            </w:r>
            <w:r w:rsidRPr="0076723E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Bankruptcy and Insolvency Act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 current and past years.</w:t>
            </w:r>
          </w:p>
          <w:p w14:paraId="7106F1CF" w14:textId="11C1989D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843905">
              <w:rPr>
                <w:rFonts w:asciiTheme="minorHAnsi" w:hAnsiTheme="minorHAnsi" w:cs="Arial"/>
                <w:sz w:val="23"/>
                <w:szCs w:val="23"/>
              </w:rPr>
              <w:t>Sturgeon County adjusts taxes receivable to allow for un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collectible</w:t>
            </w:r>
            <w:r w:rsidRPr="00843905">
              <w:rPr>
                <w:rFonts w:asciiTheme="minorHAnsi" w:hAnsiTheme="minorHAnsi" w:cs="Arial"/>
                <w:sz w:val="23"/>
                <w:szCs w:val="23"/>
              </w:rPr>
              <w:t xml:space="preserve"> accounts each year as part of the audit process to ensure receivables and revenues are not overstated.</w:t>
            </w:r>
          </w:p>
          <w:p w14:paraId="32778703" w14:textId="412F8335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Administration has attempted collection, as per our administrative process, with correspondence, phone calls, emails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and the bailiff when applicable.</w:t>
            </w:r>
          </w:p>
          <w:p w14:paraId="34BF5AAF" w14:textId="3F7FC72B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Sturgeon County wrote off taxes owing in the amount of $</w:t>
            </w:r>
            <w:r w:rsidR="00BE5400">
              <w:rPr>
                <w:rFonts w:asciiTheme="minorHAnsi" w:hAnsiTheme="minorHAnsi" w:cs="Arial"/>
                <w:sz w:val="23"/>
                <w:szCs w:val="23"/>
              </w:rPr>
              <w:t xml:space="preserve">956,215.08 </w:t>
            </w:r>
            <w:r>
              <w:rPr>
                <w:rFonts w:asciiTheme="minorHAnsi" w:hAnsiTheme="minorHAnsi" w:cs="Arial"/>
                <w:sz w:val="23"/>
                <w:szCs w:val="23"/>
              </w:rPr>
              <w:t>in 201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9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and $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 xml:space="preserve">39,719.87 </w:t>
            </w:r>
            <w:r>
              <w:rPr>
                <w:rFonts w:asciiTheme="minorHAnsi" w:hAnsiTheme="minorHAnsi" w:cs="Arial"/>
                <w:sz w:val="23"/>
                <w:szCs w:val="23"/>
              </w:rPr>
              <w:t>in 201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8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2C06B5E8" w14:textId="6D495CC6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All the 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accounts have until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the last business day of 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August</w:t>
            </w:r>
            <w:r w:rsidR="00F54E5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14557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31</w:t>
            </w:r>
            <w:r w:rsidR="00C7772B" w:rsidRPr="00C7772B">
              <w:rPr>
                <w:rFonts w:asciiTheme="minorHAnsi" w:hAnsiTheme="minorHAnsi" w:cs="Arial"/>
                <w:sz w:val="23"/>
                <w:szCs w:val="23"/>
                <w:vertAlign w:val="superscript"/>
              </w:rPr>
              <w:t>st</w:t>
            </w:r>
            <w:r w:rsidR="00214557">
              <w:rPr>
                <w:rFonts w:asciiTheme="minorHAnsi" w:hAnsiTheme="minorHAnsi" w:cs="Arial"/>
                <w:sz w:val="23"/>
                <w:szCs w:val="23"/>
              </w:rPr>
              <w:t>)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>to settle taxes owed. If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any non-titled properties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 remain unpaid, Sturgeon County </w:t>
            </w:r>
            <w:r>
              <w:rPr>
                <w:rFonts w:asciiTheme="minorHAnsi" w:hAnsiTheme="minorHAnsi" w:cs="Arial"/>
                <w:sz w:val="23"/>
                <w:szCs w:val="23"/>
              </w:rPr>
              <w:t>attempts to contact them via email or phone call if possible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>.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187D4B74" w14:textId="77777777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Additional correspondence is sent notifying the owners that Sturgeon County will engage the services of a bailiff.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 The bailiff makes 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lastRenderedPageBreak/>
              <w:t>considerable attempts to seize property owned by the company responsible for the tax accounts to recoup the taxes owed.</w:t>
            </w:r>
          </w:p>
          <w:p w14:paraId="19C46BE2" w14:textId="77777777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If the company is in receivership due to bankruptcy, Sturgeon County is listed as a creditor with the receiver to be eligible for payments from the proceeds of the sale of the company’s assets. </w:t>
            </w:r>
          </w:p>
          <w:p w14:paraId="1F6B8AEB" w14:textId="56C96850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In </w:t>
            </w:r>
            <w:r>
              <w:rPr>
                <w:rFonts w:asciiTheme="minorHAnsi" w:hAnsiTheme="minorHAnsi" w:cs="Arial"/>
                <w:sz w:val="23"/>
                <w:szCs w:val="23"/>
              </w:rPr>
              <w:t>most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 cases, the proceeds of the salvageable assets are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>sufficient to pay the fees associated with receivership</w:t>
            </w:r>
            <w:r>
              <w:rPr>
                <w:rFonts w:asciiTheme="minorHAnsi" w:hAnsiTheme="minorHAnsi" w:cs="Arial"/>
                <w:sz w:val="23"/>
                <w:szCs w:val="23"/>
              </w:rPr>
              <w:t>, reclamation/environmental costs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and secure creditors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>, w</w:t>
            </w:r>
            <w:r>
              <w:rPr>
                <w:rFonts w:asciiTheme="minorHAnsi" w:hAnsiTheme="minorHAnsi" w:cs="Arial"/>
                <w:sz w:val="23"/>
                <w:szCs w:val="23"/>
              </w:rPr>
              <w:t>ho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 are first in line before </w:t>
            </w:r>
            <w:r>
              <w:rPr>
                <w:rFonts w:asciiTheme="minorHAnsi" w:hAnsiTheme="minorHAnsi" w:cs="Arial"/>
                <w:sz w:val="23"/>
                <w:szCs w:val="23"/>
              </w:rPr>
              <w:t>unsecured</w:t>
            </w:r>
            <w:r w:rsidRPr="009F44E6">
              <w:rPr>
                <w:rFonts w:asciiTheme="minorHAnsi" w:hAnsiTheme="minorHAnsi" w:cs="Arial"/>
                <w:sz w:val="23"/>
                <w:szCs w:val="23"/>
              </w:rPr>
              <w:t xml:space="preserve"> creditors.</w:t>
            </w:r>
          </w:p>
          <w:p w14:paraId="7BBD11FA" w14:textId="77777777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A108C4">
              <w:rPr>
                <w:rFonts w:asciiTheme="minorHAnsi" w:hAnsiTheme="minorHAnsi" w:cs="Arial"/>
                <w:sz w:val="23"/>
                <w:szCs w:val="23"/>
              </w:rPr>
              <w:t>Municipalities are classified as unsecured creditors</w:t>
            </w:r>
            <w:r>
              <w:rPr>
                <w:rFonts w:asciiTheme="minorHAnsi" w:hAnsiTheme="minorHAnsi" w:cs="Arial"/>
                <w:sz w:val="23"/>
                <w:szCs w:val="23"/>
              </w:rPr>
              <w:t>. M</w:t>
            </w:r>
            <w:r w:rsidRPr="00A108C4">
              <w:rPr>
                <w:rFonts w:asciiTheme="minorHAnsi" w:hAnsiTheme="minorHAnsi" w:cs="Arial"/>
                <w:sz w:val="23"/>
                <w:szCs w:val="23"/>
              </w:rPr>
              <w:t>any of the bankrupt companies have significant secured debt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or environmental obligations</w:t>
            </w:r>
            <w:r w:rsidRPr="00A108C4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and</w:t>
            </w:r>
            <w:r w:rsidRPr="00A108C4">
              <w:rPr>
                <w:rFonts w:asciiTheme="minorHAnsi" w:hAnsiTheme="minorHAnsi" w:cs="Arial"/>
                <w:sz w:val="23"/>
                <w:szCs w:val="23"/>
              </w:rPr>
              <w:t xml:space="preserve"> it has been determined that Sturgeon County will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likely</w:t>
            </w:r>
            <w:r w:rsidRPr="00A108C4">
              <w:rPr>
                <w:rFonts w:asciiTheme="minorHAnsi" w:hAnsiTheme="minorHAnsi" w:cs="Arial"/>
                <w:sz w:val="23"/>
                <w:szCs w:val="23"/>
              </w:rPr>
              <w:t xml:space="preserve"> not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be able to </w:t>
            </w:r>
            <w:r w:rsidRPr="00A108C4">
              <w:rPr>
                <w:rFonts w:asciiTheme="minorHAnsi" w:hAnsiTheme="minorHAnsi" w:cs="Arial"/>
                <w:sz w:val="23"/>
                <w:szCs w:val="23"/>
              </w:rPr>
              <w:t xml:space="preserve">collect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on </w:t>
            </w:r>
            <w:r w:rsidRPr="00A108C4">
              <w:rPr>
                <w:rFonts w:asciiTheme="minorHAnsi" w:hAnsiTheme="minorHAnsi" w:cs="Arial"/>
                <w:sz w:val="23"/>
                <w:szCs w:val="23"/>
              </w:rPr>
              <w:t>these accounts.</w:t>
            </w:r>
          </w:p>
          <w:p w14:paraId="1F6799A6" w14:textId="79974F57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Government of Alberta has 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extended the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Provincial Education Requisition Credit (PERC) 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for two more years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 xml:space="preserve">to </w:t>
            </w:r>
            <w:r w:rsidR="009D72DA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2021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tax year that allows municipalities to receive a credit for un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collectible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education property taxes on oilfield, linear, and designat</w:t>
            </w:r>
            <w:r w:rsidR="009D72DA">
              <w:rPr>
                <w:rFonts w:asciiTheme="minorHAnsi" w:hAnsiTheme="minorHAnsi" w:cs="Arial"/>
                <w:sz w:val="23"/>
                <w:szCs w:val="23"/>
              </w:rPr>
              <w:t>ed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industrial properties. This credit can be applied retroactively to the 2015 tax year and the application deadline is 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>February 1</w:t>
            </w:r>
            <w:r w:rsidR="00C7772B" w:rsidRPr="00C7772B">
              <w:rPr>
                <w:rFonts w:asciiTheme="minorHAnsi" w:hAnsiTheme="minorHAnsi" w:cs="Arial"/>
                <w:sz w:val="23"/>
                <w:szCs w:val="23"/>
                <w:vertAlign w:val="superscript"/>
              </w:rPr>
              <w:t>st</w:t>
            </w:r>
            <w:r w:rsidR="00C7772B">
              <w:rPr>
                <w:rFonts w:asciiTheme="minorHAnsi" w:hAnsiTheme="minorHAnsi" w:cs="Arial"/>
                <w:sz w:val="23"/>
                <w:szCs w:val="23"/>
              </w:rPr>
              <w:t xml:space="preserve"> of each year.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</w:p>
          <w:p w14:paraId="647E2DE0" w14:textId="03C3357F" w:rsidR="00562BD0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The potential PERC credit for the 20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20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write-off is $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872869">
              <w:rPr>
                <w:rFonts w:asciiTheme="minorHAnsi" w:hAnsiTheme="minorHAnsi" w:cs="Arial"/>
                <w:sz w:val="23"/>
                <w:szCs w:val="23"/>
              </w:rPr>
              <w:t>29,301.</w:t>
            </w:r>
            <w:r w:rsidR="009642A4">
              <w:rPr>
                <w:rFonts w:asciiTheme="minorHAnsi" w:hAnsiTheme="minorHAnsi" w:cs="Arial"/>
                <w:sz w:val="23"/>
                <w:szCs w:val="23"/>
              </w:rPr>
              <w:t>36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, which is </w:t>
            </w:r>
            <w:r w:rsidR="00872869">
              <w:rPr>
                <w:rFonts w:asciiTheme="minorHAnsi" w:hAnsiTheme="minorHAnsi" w:cs="Arial"/>
                <w:sz w:val="23"/>
                <w:szCs w:val="23"/>
              </w:rPr>
              <w:t>23.27</w:t>
            </w:r>
            <w:r>
              <w:rPr>
                <w:rFonts w:asciiTheme="minorHAnsi" w:hAnsiTheme="minorHAnsi" w:cs="Arial"/>
                <w:sz w:val="23"/>
                <w:szCs w:val="23"/>
              </w:rPr>
              <w:t>% of the total written off balance</w:t>
            </w:r>
            <w:r w:rsidR="009D72DA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57B2C988" w14:textId="112E8FCC" w:rsidR="00562BD0" w:rsidRPr="00533A6B" w:rsidRDefault="00562BD0" w:rsidP="00562BD0">
            <w:pPr>
              <w:pStyle w:val="BodyText"/>
              <w:numPr>
                <w:ilvl w:val="0"/>
                <w:numId w:val="10"/>
              </w:numPr>
              <w:spacing w:after="20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The 20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20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bad debt budget for taxes was $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225</w:t>
            </w:r>
            <w:r>
              <w:rPr>
                <w:rFonts w:asciiTheme="minorHAnsi" w:hAnsiTheme="minorHAnsi" w:cs="Arial"/>
                <w:sz w:val="23"/>
                <w:szCs w:val="23"/>
              </w:rPr>
              <w:t>,000, which was increased from $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48</w:t>
            </w:r>
            <w:r>
              <w:rPr>
                <w:rFonts w:asciiTheme="minorHAnsi" w:hAnsiTheme="minorHAnsi" w:cs="Arial"/>
                <w:sz w:val="23"/>
                <w:szCs w:val="23"/>
              </w:rPr>
              <w:t>,000 in the 201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9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year. Bad debts expense in the proposed 202</w:t>
            </w:r>
            <w:r w:rsidR="00574770">
              <w:rPr>
                <w:rFonts w:asciiTheme="minorHAnsi" w:hAnsiTheme="minorHAnsi" w:cs="Arial"/>
                <w:sz w:val="23"/>
                <w:szCs w:val="23"/>
              </w:rPr>
              <w:t>1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budget</w:t>
            </w:r>
            <w:r w:rsidR="005A6442">
              <w:rPr>
                <w:rFonts w:asciiTheme="minorHAnsi" w:hAnsiTheme="minorHAnsi" w:cs="Arial"/>
                <w:sz w:val="23"/>
                <w:szCs w:val="23"/>
              </w:rPr>
              <w:t xml:space="preserve"> has been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0A5DEF">
              <w:rPr>
                <w:rFonts w:asciiTheme="minorHAnsi" w:hAnsiTheme="minorHAnsi" w:cs="Arial"/>
                <w:sz w:val="23"/>
                <w:szCs w:val="23"/>
              </w:rPr>
              <w:t>increased to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$</w:t>
            </w:r>
            <w:r w:rsidR="000A5DEF">
              <w:rPr>
                <w:rFonts w:asciiTheme="minorHAnsi" w:hAnsiTheme="minorHAnsi" w:cs="Arial"/>
                <w:sz w:val="23"/>
                <w:szCs w:val="23"/>
              </w:rPr>
              <w:t>41</w:t>
            </w:r>
            <w:r>
              <w:rPr>
                <w:rFonts w:asciiTheme="minorHAnsi" w:hAnsiTheme="minorHAnsi" w:cs="Arial"/>
                <w:sz w:val="23"/>
                <w:szCs w:val="23"/>
              </w:rPr>
              <w:t>5,</w:t>
            </w:r>
            <w:r w:rsidR="000A5DEF">
              <w:rPr>
                <w:rFonts w:asciiTheme="minorHAnsi" w:hAnsiTheme="minorHAnsi" w:cs="Arial"/>
                <w:sz w:val="23"/>
                <w:szCs w:val="23"/>
              </w:rPr>
              <w:t>6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00 based on the current economic conditions and current year trends. </w:t>
            </w:r>
          </w:p>
          <w:p w14:paraId="47346743" w14:textId="77777777" w:rsidR="00562BD0" w:rsidRPr="00995A98" w:rsidRDefault="00562BD0" w:rsidP="00562BD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406A5A91" w14:textId="77777777" w:rsidR="00562BD0" w:rsidRPr="00162CDB" w:rsidRDefault="00562BD0" w:rsidP="00562BD0">
            <w:pPr>
              <w:pStyle w:val="BodyText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090879">
              <w:rPr>
                <w:rFonts w:asciiTheme="minorHAnsi" w:hAnsiTheme="minorHAnsi" w:cs="Arial"/>
                <w:sz w:val="23"/>
                <w:szCs w:val="23"/>
              </w:rPr>
              <w:t>None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4B2155BA" w14:textId="77777777" w:rsidR="00562BD0" w:rsidRPr="00090879" w:rsidRDefault="00562BD0" w:rsidP="00562BD0">
            <w:pPr>
              <w:pStyle w:val="BodyText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</w:p>
          <w:p w14:paraId="58E28D5F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365ADFEB" w14:textId="77777777" w:rsidR="008E41DC" w:rsidRPr="008E41DC" w:rsidRDefault="00562BD0" w:rsidP="009C0643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EA0F79">
              <w:rPr>
                <w:rFonts w:asciiTheme="minorHAnsi" w:hAnsiTheme="minorHAnsi" w:cs="Arial"/>
                <w:i/>
                <w:sz w:val="23"/>
                <w:szCs w:val="23"/>
              </w:rPr>
              <w:t>Municipal Government Act</w:t>
            </w:r>
            <w:r w:rsidRPr="009025AD">
              <w:rPr>
                <w:rFonts w:asciiTheme="minorHAnsi" w:hAnsiTheme="minorHAnsi" w:cs="Arial"/>
                <w:sz w:val="23"/>
                <w:szCs w:val="23"/>
              </w:rPr>
              <w:t>, R.S.A 2000</w:t>
            </w:r>
            <w:r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9025AD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c. </w:t>
            </w:r>
            <w:r w:rsidRPr="009025AD">
              <w:rPr>
                <w:rFonts w:asciiTheme="minorHAnsi" w:hAnsiTheme="minorHAnsi" w:cs="Arial"/>
                <w:sz w:val="23"/>
                <w:szCs w:val="23"/>
              </w:rPr>
              <w:t>M-26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40B9D89A" w14:textId="6844E6E5" w:rsidR="00562BD0" w:rsidRPr="009C0643" w:rsidRDefault="00562BD0" w:rsidP="008E41DC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9025AD">
              <w:rPr>
                <w:rFonts w:asciiTheme="minorHAnsi" w:hAnsiTheme="minorHAnsi" w:cs="Arial"/>
                <w:sz w:val="23"/>
                <w:szCs w:val="23"/>
              </w:rPr>
              <w:t xml:space="preserve">Section 347(1) </w:t>
            </w:r>
            <w:r w:rsidRPr="00090879">
              <w:rPr>
                <w:rFonts w:asciiTheme="minorHAnsi" w:hAnsiTheme="minorHAnsi" w:cs="Arial"/>
                <w:sz w:val="23"/>
                <w:szCs w:val="23"/>
              </w:rPr>
              <w:t xml:space="preserve">states that Council may, if it considers it equitable to do so, cancel or refund all or part of a tax. </w:t>
            </w:r>
          </w:p>
        </w:tc>
      </w:tr>
      <w:tr w:rsidR="00562BD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62BD0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65AA8E82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Strong Local and Regional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Governance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Goal 3.1: Sturgeon County provides effective leadership and management as guided by the significant accounting policies.</w:t>
            </w:r>
          </w:p>
          <w:p w14:paraId="5B2A012B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757BB6B2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16EBD43A" w14:textId="45FE854C" w:rsidR="00562BD0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The County’s property tax receivables will not carry these tax accounts which will not likely be </w:t>
            </w:r>
            <w:r w:rsidR="008E41DC">
              <w:rPr>
                <w:rFonts w:asciiTheme="minorHAnsi" w:hAnsiTheme="minorHAnsi"/>
                <w:sz w:val="23"/>
                <w:szCs w:val="23"/>
              </w:rPr>
              <w:t>collectible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. This will help to keep our property tax receivables accurate for what we will be receiving. </w:t>
            </w:r>
          </w:p>
          <w:p w14:paraId="504C90D8" w14:textId="245D9F50" w:rsidR="009D72DA" w:rsidRDefault="009D72DA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36B588AB" w14:textId="77777777" w:rsidR="009D72DA" w:rsidRDefault="009D72DA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43636969" w14:textId="77777777" w:rsidR="008E41DC" w:rsidRPr="00995A98" w:rsidRDefault="008E41DC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703968B1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lastRenderedPageBreak/>
              <w:t>Financial:</w:t>
            </w:r>
          </w:p>
          <w:p w14:paraId="56F7C42B" w14:textId="785E68AC" w:rsidR="00BE5400" w:rsidRDefault="00562BD0" w:rsidP="00562BD0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ind w:left="352"/>
              <w:rPr>
                <w:rFonts w:asciiTheme="minorHAnsi" w:hAnsiTheme="minorHAnsi" w:cs="Arial"/>
                <w:sz w:val="23"/>
                <w:szCs w:val="23"/>
              </w:rPr>
            </w:pPr>
            <w:r w:rsidRPr="0004626B">
              <w:rPr>
                <w:rFonts w:asciiTheme="minorHAnsi" w:hAnsiTheme="minorHAnsi" w:cs="Arial"/>
                <w:sz w:val="23"/>
                <w:szCs w:val="23"/>
              </w:rPr>
              <w:t>The County’s taxes receivable will be reduced by $</w:t>
            </w:r>
            <w:r w:rsidR="00872869">
              <w:rPr>
                <w:rFonts w:asciiTheme="minorHAnsi" w:hAnsiTheme="minorHAnsi" w:cs="Arial"/>
                <w:sz w:val="23"/>
                <w:szCs w:val="23"/>
              </w:rPr>
              <w:t>555,665.65</w:t>
            </w:r>
            <w:r w:rsidR="00C8731F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04626B">
              <w:rPr>
                <w:rFonts w:asciiTheme="minorHAnsi" w:hAnsiTheme="minorHAnsi" w:cs="Arial"/>
                <w:sz w:val="23"/>
                <w:szCs w:val="23"/>
              </w:rPr>
              <w:t>to reflect the changes from these un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>collectible</w:t>
            </w:r>
            <w:r w:rsidRPr="0004626B">
              <w:rPr>
                <w:rFonts w:asciiTheme="minorHAnsi" w:hAnsiTheme="minorHAnsi" w:cs="Arial"/>
                <w:sz w:val="23"/>
                <w:szCs w:val="23"/>
              </w:rPr>
              <w:t xml:space="preserve"> accounts. </w:t>
            </w:r>
            <w:r w:rsidR="00C8731F">
              <w:rPr>
                <w:rFonts w:asciiTheme="minorHAnsi" w:hAnsiTheme="minorHAnsi" w:cs="Arial"/>
                <w:sz w:val="23"/>
                <w:szCs w:val="23"/>
              </w:rPr>
              <w:t>T</w:t>
            </w:r>
            <w:r w:rsidRPr="0004626B">
              <w:rPr>
                <w:rFonts w:asciiTheme="minorHAnsi" w:hAnsiTheme="minorHAnsi" w:cs="Arial"/>
                <w:sz w:val="23"/>
                <w:szCs w:val="23"/>
              </w:rPr>
              <w:t>he current year impacted to expenditures is $</w:t>
            </w:r>
            <w:r w:rsidR="00872869">
              <w:rPr>
                <w:rFonts w:asciiTheme="minorHAnsi" w:hAnsiTheme="minorHAnsi" w:cs="Arial"/>
                <w:sz w:val="23"/>
                <w:szCs w:val="23"/>
              </w:rPr>
              <w:t>330,665.65</w:t>
            </w:r>
            <w:r>
              <w:rPr>
                <w:rFonts w:asciiTheme="minorHAnsi" w:hAnsiTheme="minorHAnsi" w:cs="Arial"/>
                <w:sz w:val="23"/>
                <w:szCs w:val="23"/>
              </w:rPr>
              <w:t>, which has not been budgeted for</w:t>
            </w:r>
            <w:r w:rsidRPr="0004626B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1BED1DFD" w14:textId="368D4F23" w:rsidR="00562BD0" w:rsidRPr="00BE5400" w:rsidRDefault="00562BD0" w:rsidP="008E41DC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1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BE5400">
              <w:rPr>
                <w:rFonts w:asciiTheme="minorHAnsi" w:hAnsiTheme="minorHAnsi"/>
                <w:sz w:val="23"/>
                <w:szCs w:val="23"/>
              </w:rPr>
              <w:t>The potential PERC credit is estimated at $</w:t>
            </w:r>
            <w:r w:rsidR="00872869">
              <w:rPr>
                <w:rFonts w:asciiTheme="minorHAnsi" w:hAnsiTheme="minorHAnsi" w:cs="Arial"/>
                <w:sz w:val="23"/>
                <w:szCs w:val="23"/>
              </w:rPr>
              <w:t>129,301.</w:t>
            </w:r>
            <w:r w:rsidR="009642A4">
              <w:rPr>
                <w:rFonts w:asciiTheme="minorHAnsi" w:hAnsiTheme="minorHAnsi" w:cs="Arial"/>
                <w:sz w:val="23"/>
                <w:szCs w:val="23"/>
              </w:rPr>
              <w:t>36</w:t>
            </w:r>
            <w:r w:rsidRPr="00BE5400">
              <w:rPr>
                <w:rFonts w:asciiTheme="minorHAnsi" w:hAnsiTheme="minorHAnsi"/>
                <w:sz w:val="23"/>
                <w:szCs w:val="23"/>
              </w:rPr>
              <w:t>, which will be received in the 2021 taxation year through the Government of Alberta’s Provincial Education Requisition Credit Program.</w:t>
            </w:r>
            <w:r w:rsidR="00C8731F" w:rsidRPr="00BE5400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562BD0" w:rsidRPr="00995A98" w14:paraId="2BCE6B63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562BD0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21958344" w:rsidR="00562BD0" w:rsidRPr="00995A98" w:rsidRDefault="00562BD0" w:rsidP="008E41DC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02355C05" w:rsidR="00562BD0" w:rsidRPr="00995A98" w:rsidRDefault="00F7393D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Council </w:t>
            </w:r>
            <w:r w:rsidR="009D72DA">
              <w:rPr>
                <w:rFonts w:asciiTheme="minorHAnsi" w:hAnsiTheme="minorHAnsi" w:cs="Arial"/>
                <w:sz w:val="23"/>
                <w:szCs w:val="23"/>
              </w:rPr>
              <w:t xml:space="preserve">could </w:t>
            </w:r>
            <w:r w:rsidR="009C0643">
              <w:rPr>
                <w:rFonts w:asciiTheme="minorHAnsi" w:hAnsiTheme="minorHAnsi" w:cs="Arial"/>
                <w:sz w:val="23"/>
                <w:szCs w:val="23"/>
              </w:rPr>
              <w:t>receive this report for information and take no action.</w:t>
            </w:r>
          </w:p>
        </w:tc>
      </w:tr>
      <w:tr w:rsidR="00562BD0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562BD0" w:rsidRPr="00995A98" w:rsidRDefault="00562BD0" w:rsidP="00562BD0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22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62BD0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27DF1966" w14:textId="3C0C716C" w:rsidR="00562BD0" w:rsidRDefault="009C0643" w:rsidP="008E41D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None.</w:t>
            </w:r>
          </w:p>
          <w:p w14:paraId="44680EA8" w14:textId="77777777" w:rsidR="008E41DC" w:rsidRPr="009C0643" w:rsidRDefault="008E41DC" w:rsidP="008E41DC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/>
              <w:rPr>
                <w:rFonts w:asciiTheme="minorHAnsi" w:hAnsiTheme="minorHAnsi" w:cs="Arial"/>
                <w:sz w:val="23"/>
                <w:szCs w:val="23"/>
              </w:rPr>
            </w:pPr>
          </w:p>
          <w:p w14:paraId="4910C086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22B6A5FB" w14:textId="030DAFC8" w:rsidR="00562BD0" w:rsidRPr="00995A98" w:rsidRDefault="009C0643" w:rsidP="00562BD0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Should this amount remain in our Financial Statements as </w:t>
            </w:r>
            <w:r w:rsidR="008E41DC">
              <w:rPr>
                <w:rFonts w:asciiTheme="minorHAnsi" w:hAnsiTheme="minorHAnsi"/>
                <w:sz w:val="23"/>
                <w:szCs w:val="23"/>
              </w:rPr>
              <w:t>collectible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="00FC46E4">
              <w:rPr>
                <w:rFonts w:asciiTheme="minorHAnsi" w:hAnsiTheme="minorHAnsi"/>
                <w:sz w:val="23"/>
                <w:szCs w:val="23"/>
              </w:rPr>
              <w:t>Sturgeon County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may be challenged by our auditors during the 2020 Audit.</w:t>
            </w:r>
            <w:r w:rsidR="002A44C3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540A44BB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28FB9CC4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555191A0" w14:textId="223FB518" w:rsidR="00562BD0" w:rsidRPr="009C0643" w:rsidRDefault="001327A7" w:rsidP="00562BD0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Receivables </w:t>
            </w:r>
            <w:r w:rsidR="00FC46E4">
              <w:rPr>
                <w:rFonts w:asciiTheme="minorHAnsi" w:hAnsiTheme="minorHAnsi"/>
                <w:sz w:val="23"/>
                <w:szCs w:val="23"/>
              </w:rPr>
              <w:t>would likely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be overstated</w:t>
            </w:r>
            <w:r w:rsidR="009D72DA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562BD0" w:rsidRPr="00995A98" w14:paraId="3E537BB0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562BD0" w:rsidRPr="00995A98" w:rsidRDefault="00562BD0" w:rsidP="00562BD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4B1258" w:rsidRPr="00995A98" w14:paraId="25034931" w14:textId="77777777" w:rsidTr="009A6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E568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7FD9BD81" w14:textId="7827B359" w:rsidR="004B1258" w:rsidRPr="000D6610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1. </w:t>
            </w:r>
            <w:r w:rsidRPr="000D6610">
              <w:rPr>
                <w:rFonts w:asciiTheme="minorHAnsi" w:hAnsiTheme="minorHAnsi" w:cs="Arial"/>
                <w:sz w:val="23"/>
                <w:szCs w:val="23"/>
              </w:rPr>
              <w:t>Administration will remove receivables from the property tax ledger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 xml:space="preserve"> (Financial Services, November 2020)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  <w:p w14:paraId="0724ACBB" w14:textId="43FA784A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2. </w:t>
            </w:r>
            <w:r w:rsidRPr="000D6610">
              <w:rPr>
                <w:rFonts w:asciiTheme="minorHAnsi" w:hAnsiTheme="minorHAnsi" w:cs="Arial"/>
                <w:sz w:val="23"/>
                <w:szCs w:val="23"/>
              </w:rPr>
              <w:t>Administration will apply for the Provincial Education Requisition Credit</w:t>
            </w:r>
            <w:r w:rsidR="008E41DC">
              <w:rPr>
                <w:rFonts w:asciiTheme="minorHAnsi" w:hAnsiTheme="minorHAnsi" w:cs="Arial"/>
                <w:sz w:val="23"/>
                <w:szCs w:val="23"/>
              </w:rPr>
              <w:t xml:space="preserve"> (Financial Services, November 2020)</w:t>
            </w:r>
            <w:r w:rsidRPr="000D6610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4B1258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4B125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3646F2F9" w:rsidR="004B1258" w:rsidRPr="009C0643" w:rsidRDefault="004B1258" w:rsidP="000C60F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1. 20</w:t>
            </w:r>
            <w:r w:rsidR="00C8731F">
              <w:rPr>
                <w:rFonts w:asciiTheme="minorHAnsi" w:hAnsiTheme="minorHAnsi"/>
                <w:sz w:val="23"/>
                <w:szCs w:val="23"/>
              </w:rPr>
              <w:t>20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Tax Arrears Write</w:t>
            </w:r>
            <w:r w:rsidR="008E41DC">
              <w:rPr>
                <w:rFonts w:asciiTheme="minorHAnsi" w:hAnsiTheme="minorHAnsi"/>
                <w:sz w:val="23"/>
                <w:szCs w:val="23"/>
              </w:rPr>
              <w:t>-off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List</w:t>
            </w:r>
          </w:p>
        </w:tc>
      </w:tr>
      <w:tr w:rsidR="004B1258" w:rsidRPr="00995A98" w14:paraId="56199574" w14:textId="77777777" w:rsidTr="00907A1B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4B1258" w:rsidRPr="00995A98" w14:paraId="476BD852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4B1258" w:rsidRPr="00995A98" w:rsidRDefault="004B1258" w:rsidP="004B125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61660884" w14:textId="77777777" w:rsidR="004B1258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252CD9B2" w14:textId="3EDF270D" w:rsidR="004B1258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Sabrina Duquette, </w:t>
            </w:r>
            <w:r w:rsidR="00C8731F">
              <w:rPr>
                <w:rFonts w:asciiTheme="minorHAnsi" w:hAnsiTheme="minorHAnsi"/>
                <w:sz w:val="23"/>
                <w:szCs w:val="23"/>
              </w:rPr>
              <w:t xml:space="preserve">Acting Manager, </w:t>
            </w:r>
            <w:r w:rsidR="00C8731F" w:rsidRPr="0076723E">
              <w:rPr>
                <w:rFonts w:asciiTheme="minorHAnsi" w:hAnsiTheme="minorHAnsi"/>
                <w:sz w:val="23"/>
                <w:szCs w:val="23"/>
              </w:rPr>
              <w:t>Financial</w:t>
            </w:r>
            <w:r w:rsidR="00C8731F">
              <w:rPr>
                <w:rFonts w:asciiTheme="minorHAnsi" w:hAnsiTheme="minorHAnsi"/>
                <w:sz w:val="23"/>
                <w:szCs w:val="23"/>
              </w:rPr>
              <w:t xml:space="preserve"> Services</w:t>
            </w:r>
          </w:p>
          <w:p w14:paraId="13321F72" w14:textId="04ED1FC0" w:rsidR="004B1258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07039CCA" w14:textId="4681A705" w:rsidR="004B1258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</w:t>
            </w:r>
            <w:r w:rsidR="005C7540">
              <w:rPr>
                <w:rFonts w:asciiTheme="minorHAnsi" w:hAnsiTheme="minorHAnsi"/>
                <w:sz w:val="23"/>
                <w:szCs w:val="23"/>
              </w:rPr>
              <w:t>aw</w:t>
            </w:r>
            <w:r>
              <w:rPr>
                <w:rFonts w:asciiTheme="minorHAnsi" w:hAnsiTheme="minorHAnsi"/>
                <w:sz w:val="23"/>
                <w:szCs w:val="23"/>
              </w:rPr>
              <w:t>n S</w:t>
            </w:r>
            <w:r w:rsidR="00C8731F">
              <w:rPr>
                <w:rFonts w:asciiTheme="minorHAnsi" w:hAnsiTheme="minorHAnsi"/>
                <w:sz w:val="23"/>
                <w:szCs w:val="23"/>
              </w:rPr>
              <w:t>auv</w:t>
            </w:r>
            <w:r w:rsidR="00EB2C0C">
              <w:rPr>
                <w:rFonts w:asciiTheme="minorHAnsi" w:hAnsiTheme="minorHAnsi" w:cstheme="minorHAnsi"/>
                <w:sz w:val="23"/>
                <w:szCs w:val="23"/>
              </w:rPr>
              <w:t>é</w:t>
            </w:r>
            <w:r w:rsidRPr="0076723E">
              <w:rPr>
                <w:rFonts w:asciiTheme="minorHAnsi" w:hAnsiTheme="minorHAnsi"/>
                <w:sz w:val="23"/>
                <w:szCs w:val="23"/>
              </w:rPr>
              <w:t>, Director</w:t>
            </w:r>
            <w:r>
              <w:rPr>
                <w:rFonts w:asciiTheme="minorHAnsi" w:hAnsiTheme="minorHAnsi"/>
                <w:sz w:val="23"/>
                <w:szCs w:val="23"/>
              </w:rPr>
              <w:t>,</w:t>
            </w:r>
            <w:r w:rsidRPr="0076723E">
              <w:rPr>
                <w:rFonts w:asciiTheme="minorHAnsi" w:hAnsiTheme="minorHAnsi"/>
                <w:sz w:val="23"/>
                <w:szCs w:val="23"/>
              </w:rPr>
              <w:t xml:space="preserve"> Financial</w:t>
            </w:r>
            <w:r w:rsidR="00C8731F">
              <w:rPr>
                <w:rFonts w:asciiTheme="minorHAnsi" w:hAnsiTheme="minorHAnsi"/>
                <w:sz w:val="23"/>
                <w:szCs w:val="23"/>
              </w:rPr>
              <w:t>, Assessment and Procurement Services</w:t>
            </w:r>
          </w:p>
          <w:p w14:paraId="46ED44A9" w14:textId="176FDBFE" w:rsidR="004B1258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39575586" w14:textId="6678BCA2" w:rsidR="004B1258" w:rsidRPr="0076723E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76723E">
              <w:rPr>
                <w:rFonts w:asciiTheme="minorHAnsi" w:hAnsiTheme="minorHAnsi"/>
                <w:sz w:val="23"/>
                <w:szCs w:val="23"/>
              </w:rPr>
              <w:t>Reegan McCullough, County Commissioner – CAO</w:t>
            </w:r>
          </w:p>
          <w:p w14:paraId="18DBE84F" w14:textId="075374E4" w:rsidR="004B1258" w:rsidRPr="00995A98" w:rsidRDefault="004B1258" w:rsidP="004B125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469507B9" w:rsidR="008675A1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29B179B0" w:rsidR="008675A1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6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5112420E" w:rsidR="007E42F4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09437EA2" w:rsidR="00290B0D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112C623E" w:rsidR="00290B0D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4230F25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6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4E9CC185" w:rsidR="007E42F4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47053826" w:rsidR="007E42F4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19A6E394" w:rsidR="0043439B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5BF7C67C" w:rsidR="007E42F4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001B9A4F" w:rsidR="005201F1" w:rsidRPr="00995A98" w:rsidRDefault="009B3DD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14360692" w:rsidR="005201F1" w:rsidRPr="00995A98" w:rsidRDefault="009B3DD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55E27835" w:rsidR="005201F1" w:rsidRPr="00995A98" w:rsidRDefault="009B3DD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326A52E8" w:rsidR="005201F1" w:rsidRPr="00995A98" w:rsidRDefault="009B3DD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347E27C" w:rsidR="0068496D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57710D95" w:rsidR="0068496D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057E762B" w:rsidR="0068496D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00A67F5A" w:rsidR="005201F1" w:rsidRPr="00995A98" w:rsidRDefault="009B3DD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063C3046" w:rsidR="005201F1" w:rsidRPr="00995A98" w:rsidRDefault="009B3DD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083B6838" w:rsidR="00A174F1" w:rsidRPr="00995A98" w:rsidRDefault="009B3DD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271C" w14:textId="77777777" w:rsidR="00A04BC5" w:rsidRDefault="00A04BC5">
      <w:r>
        <w:separator/>
      </w:r>
    </w:p>
  </w:endnote>
  <w:endnote w:type="continuationSeparator" w:id="0">
    <w:p w14:paraId="7741B705" w14:textId="77777777" w:rsidR="00A04BC5" w:rsidRDefault="00A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302D" w14:textId="36A5C8D3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CB203C">
      <w:rPr>
        <w:rFonts w:asciiTheme="minorHAnsi" w:hAnsiTheme="minorHAnsi"/>
        <w:b w:val="0"/>
        <w:bCs/>
        <w:color w:val="999999"/>
        <w:sz w:val="20"/>
      </w:rPr>
      <w:t>November 5, 2020</w:t>
    </w:r>
  </w:p>
  <w:p w14:paraId="4515F142" w14:textId="53730CD7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CB203C">
      <w:rPr>
        <w:rFonts w:asciiTheme="minorHAnsi" w:hAnsiTheme="minorHAnsi"/>
        <w:b w:val="0"/>
        <w:bCs/>
        <w:color w:val="999999"/>
        <w:sz w:val="20"/>
      </w:rPr>
      <w:t>November 24, 2020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E263" w14:textId="77777777" w:rsidR="00A04BC5" w:rsidRDefault="00A04BC5">
      <w:r>
        <w:separator/>
      </w:r>
    </w:p>
  </w:footnote>
  <w:footnote w:type="continuationSeparator" w:id="0">
    <w:p w14:paraId="58F0ED6F" w14:textId="77777777" w:rsidR="00A04BC5" w:rsidRDefault="00A0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D46"/>
    <w:multiLevelType w:val="hybridMultilevel"/>
    <w:tmpl w:val="804C6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1"/>
  </w:num>
  <w:num w:numId="12">
    <w:abstractNumId w:val="17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3D9C"/>
    <w:rsid w:val="00095A83"/>
    <w:rsid w:val="000A5DEF"/>
    <w:rsid w:val="000B0F21"/>
    <w:rsid w:val="000B118C"/>
    <w:rsid w:val="000C60F7"/>
    <w:rsid w:val="000E190B"/>
    <w:rsid w:val="000F5525"/>
    <w:rsid w:val="00101776"/>
    <w:rsid w:val="00122D95"/>
    <w:rsid w:val="00124814"/>
    <w:rsid w:val="001308E8"/>
    <w:rsid w:val="001327A7"/>
    <w:rsid w:val="00142DD5"/>
    <w:rsid w:val="001448FA"/>
    <w:rsid w:val="00170E32"/>
    <w:rsid w:val="0018386A"/>
    <w:rsid w:val="001848A0"/>
    <w:rsid w:val="0018529E"/>
    <w:rsid w:val="00194938"/>
    <w:rsid w:val="001A3DD6"/>
    <w:rsid w:val="001B202F"/>
    <w:rsid w:val="001C134D"/>
    <w:rsid w:val="001D1AED"/>
    <w:rsid w:val="001D28FD"/>
    <w:rsid w:val="001E56BF"/>
    <w:rsid w:val="001E79C9"/>
    <w:rsid w:val="00200AE3"/>
    <w:rsid w:val="00202F3A"/>
    <w:rsid w:val="0020414F"/>
    <w:rsid w:val="00211D4B"/>
    <w:rsid w:val="00214557"/>
    <w:rsid w:val="002158FF"/>
    <w:rsid w:val="00241F15"/>
    <w:rsid w:val="00245E2C"/>
    <w:rsid w:val="002601A2"/>
    <w:rsid w:val="00280178"/>
    <w:rsid w:val="00286002"/>
    <w:rsid w:val="00286307"/>
    <w:rsid w:val="00290B0D"/>
    <w:rsid w:val="002A44C3"/>
    <w:rsid w:val="002C05B8"/>
    <w:rsid w:val="002D5DC2"/>
    <w:rsid w:val="002F36A0"/>
    <w:rsid w:val="002F39E5"/>
    <w:rsid w:val="0030162C"/>
    <w:rsid w:val="00305A9E"/>
    <w:rsid w:val="00306935"/>
    <w:rsid w:val="0032153A"/>
    <w:rsid w:val="00323978"/>
    <w:rsid w:val="00334904"/>
    <w:rsid w:val="00335992"/>
    <w:rsid w:val="003439C5"/>
    <w:rsid w:val="00353FC5"/>
    <w:rsid w:val="00371FE8"/>
    <w:rsid w:val="003751B2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C729B"/>
    <w:rsid w:val="003D063E"/>
    <w:rsid w:val="003E6787"/>
    <w:rsid w:val="00406A37"/>
    <w:rsid w:val="00407577"/>
    <w:rsid w:val="00410AD4"/>
    <w:rsid w:val="00414F03"/>
    <w:rsid w:val="0043439B"/>
    <w:rsid w:val="00445C9E"/>
    <w:rsid w:val="00454159"/>
    <w:rsid w:val="00461A8C"/>
    <w:rsid w:val="004A31DF"/>
    <w:rsid w:val="004B079D"/>
    <w:rsid w:val="004B1258"/>
    <w:rsid w:val="004B61AE"/>
    <w:rsid w:val="004C1170"/>
    <w:rsid w:val="004D01B2"/>
    <w:rsid w:val="004D13A7"/>
    <w:rsid w:val="004D411A"/>
    <w:rsid w:val="004D4494"/>
    <w:rsid w:val="004D7C21"/>
    <w:rsid w:val="004E02C8"/>
    <w:rsid w:val="004E2D44"/>
    <w:rsid w:val="004E4C16"/>
    <w:rsid w:val="004F333F"/>
    <w:rsid w:val="005201F1"/>
    <w:rsid w:val="0052158F"/>
    <w:rsid w:val="0052471D"/>
    <w:rsid w:val="005251FD"/>
    <w:rsid w:val="00526683"/>
    <w:rsid w:val="00531261"/>
    <w:rsid w:val="005314F4"/>
    <w:rsid w:val="005349BF"/>
    <w:rsid w:val="00546220"/>
    <w:rsid w:val="00547FE8"/>
    <w:rsid w:val="00550564"/>
    <w:rsid w:val="00553466"/>
    <w:rsid w:val="00562BD0"/>
    <w:rsid w:val="00562E77"/>
    <w:rsid w:val="00564E9C"/>
    <w:rsid w:val="00571759"/>
    <w:rsid w:val="00574452"/>
    <w:rsid w:val="00574770"/>
    <w:rsid w:val="0058262F"/>
    <w:rsid w:val="00585FC3"/>
    <w:rsid w:val="005A0861"/>
    <w:rsid w:val="005A6442"/>
    <w:rsid w:val="005B5E44"/>
    <w:rsid w:val="005C7540"/>
    <w:rsid w:val="005D776C"/>
    <w:rsid w:val="005E4B38"/>
    <w:rsid w:val="005E626E"/>
    <w:rsid w:val="005F0217"/>
    <w:rsid w:val="005F3432"/>
    <w:rsid w:val="005F4D56"/>
    <w:rsid w:val="005F7308"/>
    <w:rsid w:val="0060226A"/>
    <w:rsid w:val="006023C3"/>
    <w:rsid w:val="00602885"/>
    <w:rsid w:val="00636010"/>
    <w:rsid w:val="006634C1"/>
    <w:rsid w:val="00664295"/>
    <w:rsid w:val="00672200"/>
    <w:rsid w:val="0067613E"/>
    <w:rsid w:val="0068496D"/>
    <w:rsid w:val="00692CA5"/>
    <w:rsid w:val="00696DD6"/>
    <w:rsid w:val="006A1244"/>
    <w:rsid w:val="006D336A"/>
    <w:rsid w:val="006D4BF5"/>
    <w:rsid w:val="006D57FB"/>
    <w:rsid w:val="006E7AC5"/>
    <w:rsid w:val="006F189C"/>
    <w:rsid w:val="006F34C1"/>
    <w:rsid w:val="0070601B"/>
    <w:rsid w:val="00710FFE"/>
    <w:rsid w:val="00721780"/>
    <w:rsid w:val="00732918"/>
    <w:rsid w:val="00735EAD"/>
    <w:rsid w:val="0074003A"/>
    <w:rsid w:val="00741697"/>
    <w:rsid w:val="007418E8"/>
    <w:rsid w:val="00745013"/>
    <w:rsid w:val="00745E2B"/>
    <w:rsid w:val="007910CD"/>
    <w:rsid w:val="007961DA"/>
    <w:rsid w:val="00796DE8"/>
    <w:rsid w:val="007B2527"/>
    <w:rsid w:val="007B4182"/>
    <w:rsid w:val="007C490E"/>
    <w:rsid w:val="007C69F2"/>
    <w:rsid w:val="007C6DFB"/>
    <w:rsid w:val="007C7413"/>
    <w:rsid w:val="007D0FAD"/>
    <w:rsid w:val="007D153E"/>
    <w:rsid w:val="007D3BD8"/>
    <w:rsid w:val="007D696D"/>
    <w:rsid w:val="007E0FE2"/>
    <w:rsid w:val="007E42F4"/>
    <w:rsid w:val="008170A6"/>
    <w:rsid w:val="0083066C"/>
    <w:rsid w:val="008314BE"/>
    <w:rsid w:val="00854B04"/>
    <w:rsid w:val="008654B0"/>
    <w:rsid w:val="00865C96"/>
    <w:rsid w:val="008675A1"/>
    <w:rsid w:val="0087132E"/>
    <w:rsid w:val="00872869"/>
    <w:rsid w:val="00876FFA"/>
    <w:rsid w:val="008824D5"/>
    <w:rsid w:val="00887818"/>
    <w:rsid w:val="00892A3C"/>
    <w:rsid w:val="00895684"/>
    <w:rsid w:val="00896CDE"/>
    <w:rsid w:val="008B00D5"/>
    <w:rsid w:val="008B5DBE"/>
    <w:rsid w:val="008E06B8"/>
    <w:rsid w:val="008E140E"/>
    <w:rsid w:val="008E2CCE"/>
    <w:rsid w:val="008E41DC"/>
    <w:rsid w:val="008F0889"/>
    <w:rsid w:val="00900D6E"/>
    <w:rsid w:val="0091072C"/>
    <w:rsid w:val="009155A1"/>
    <w:rsid w:val="00924D4B"/>
    <w:rsid w:val="00940FD8"/>
    <w:rsid w:val="009438F8"/>
    <w:rsid w:val="009500D9"/>
    <w:rsid w:val="00952915"/>
    <w:rsid w:val="00956CBB"/>
    <w:rsid w:val="009642A4"/>
    <w:rsid w:val="00964F15"/>
    <w:rsid w:val="009651E7"/>
    <w:rsid w:val="00966A65"/>
    <w:rsid w:val="00975691"/>
    <w:rsid w:val="00990948"/>
    <w:rsid w:val="00991E0B"/>
    <w:rsid w:val="00992937"/>
    <w:rsid w:val="00995A98"/>
    <w:rsid w:val="009A43FC"/>
    <w:rsid w:val="009A6A22"/>
    <w:rsid w:val="009B3DD1"/>
    <w:rsid w:val="009C0643"/>
    <w:rsid w:val="009C3FEF"/>
    <w:rsid w:val="009C63D7"/>
    <w:rsid w:val="009D72DA"/>
    <w:rsid w:val="009F5513"/>
    <w:rsid w:val="00A04BC5"/>
    <w:rsid w:val="00A0525F"/>
    <w:rsid w:val="00A174F1"/>
    <w:rsid w:val="00A25579"/>
    <w:rsid w:val="00A26503"/>
    <w:rsid w:val="00A43A93"/>
    <w:rsid w:val="00A44FB1"/>
    <w:rsid w:val="00A514B9"/>
    <w:rsid w:val="00A554B7"/>
    <w:rsid w:val="00A5595D"/>
    <w:rsid w:val="00A61D76"/>
    <w:rsid w:val="00A651F5"/>
    <w:rsid w:val="00A73D22"/>
    <w:rsid w:val="00A75467"/>
    <w:rsid w:val="00A82A30"/>
    <w:rsid w:val="00AA3545"/>
    <w:rsid w:val="00AA702D"/>
    <w:rsid w:val="00AB2778"/>
    <w:rsid w:val="00AC21F2"/>
    <w:rsid w:val="00AD2A95"/>
    <w:rsid w:val="00AE0152"/>
    <w:rsid w:val="00AF60C3"/>
    <w:rsid w:val="00B03676"/>
    <w:rsid w:val="00B06F25"/>
    <w:rsid w:val="00B1304C"/>
    <w:rsid w:val="00B215D9"/>
    <w:rsid w:val="00B26225"/>
    <w:rsid w:val="00B265C2"/>
    <w:rsid w:val="00B2766F"/>
    <w:rsid w:val="00B4148F"/>
    <w:rsid w:val="00B41C7A"/>
    <w:rsid w:val="00B537B7"/>
    <w:rsid w:val="00B5663F"/>
    <w:rsid w:val="00B670F2"/>
    <w:rsid w:val="00B72930"/>
    <w:rsid w:val="00B72C87"/>
    <w:rsid w:val="00B75380"/>
    <w:rsid w:val="00B85225"/>
    <w:rsid w:val="00B8593D"/>
    <w:rsid w:val="00B87778"/>
    <w:rsid w:val="00B913A2"/>
    <w:rsid w:val="00BB1517"/>
    <w:rsid w:val="00BC49CA"/>
    <w:rsid w:val="00BC5AC3"/>
    <w:rsid w:val="00BD33DA"/>
    <w:rsid w:val="00BE5400"/>
    <w:rsid w:val="00BF3302"/>
    <w:rsid w:val="00C00AA1"/>
    <w:rsid w:val="00C02B01"/>
    <w:rsid w:val="00C14EEB"/>
    <w:rsid w:val="00C36C13"/>
    <w:rsid w:val="00C433CD"/>
    <w:rsid w:val="00C52FA7"/>
    <w:rsid w:val="00C62EB6"/>
    <w:rsid w:val="00C7772B"/>
    <w:rsid w:val="00C805A9"/>
    <w:rsid w:val="00C82387"/>
    <w:rsid w:val="00C8731C"/>
    <w:rsid w:val="00C8731F"/>
    <w:rsid w:val="00C96967"/>
    <w:rsid w:val="00CB203C"/>
    <w:rsid w:val="00CB2F2D"/>
    <w:rsid w:val="00CB3C92"/>
    <w:rsid w:val="00CC0A5D"/>
    <w:rsid w:val="00CC7707"/>
    <w:rsid w:val="00CD710D"/>
    <w:rsid w:val="00CE0109"/>
    <w:rsid w:val="00CF27C6"/>
    <w:rsid w:val="00D01131"/>
    <w:rsid w:val="00D02EDE"/>
    <w:rsid w:val="00D10FAD"/>
    <w:rsid w:val="00D20C46"/>
    <w:rsid w:val="00D21E35"/>
    <w:rsid w:val="00D2364E"/>
    <w:rsid w:val="00D237DC"/>
    <w:rsid w:val="00D33E3B"/>
    <w:rsid w:val="00D35182"/>
    <w:rsid w:val="00D35A11"/>
    <w:rsid w:val="00D41218"/>
    <w:rsid w:val="00D676AE"/>
    <w:rsid w:val="00D77E75"/>
    <w:rsid w:val="00D81514"/>
    <w:rsid w:val="00D94BC7"/>
    <w:rsid w:val="00D97C8E"/>
    <w:rsid w:val="00D97FAE"/>
    <w:rsid w:val="00DA20C7"/>
    <w:rsid w:val="00DB71F7"/>
    <w:rsid w:val="00DC051C"/>
    <w:rsid w:val="00DC3186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040B"/>
    <w:rsid w:val="00E345FC"/>
    <w:rsid w:val="00E479A3"/>
    <w:rsid w:val="00E50566"/>
    <w:rsid w:val="00E52909"/>
    <w:rsid w:val="00E56320"/>
    <w:rsid w:val="00E765AE"/>
    <w:rsid w:val="00E76C00"/>
    <w:rsid w:val="00E77550"/>
    <w:rsid w:val="00E9281E"/>
    <w:rsid w:val="00E93F6A"/>
    <w:rsid w:val="00E979B7"/>
    <w:rsid w:val="00EB2C0C"/>
    <w:rsid w:val="00EC79C2"/>
    <w:rsid w:val="00ED178D"/>
    <w:rsid w:val="00EE2F1B"/>
    <w:rsid w:val="00EE4830"/>
    <w:rsid w:val="00EF238E"/>
    <w:rsid w:val="00EF579C"/>
    <w:rsid w:val="00F022E9"/>
    <w:rsid w:val="00F06FBD"/>
    <w:rsid w:val="00F168A5"/>
    <w:rsid w:val="00F17838"/>
    <w:rsid w:val="00F21DF5"/>
    <w:rsid w:val="00F40663"/>
    <w:rsid w:val="00F43911"/>
    <w:rsid w:val="00F460A6"/>
    <w:rsid w:val="00F54796"/>
    <w:rsid w:val="00F54E51"/>
    <w:rsid w:val="00F60F12"/>
    <w:rsid w:val="00F60F1B"/>
    <w:rsid w:val="00F6527D"/>
    <w:rsid w:val="00F7350C"/>
    <w:rsid w:val="00F7393D"/>
    <w:rsid w:val="00F7421E"/>
    <w:rsid w:val="00F95566"/>
    <w:rsid w:val="00F966A9"/>
    <w:rsid w:val="00FA228B"/>
    <w:rsid w:val="00FB118C"/>
    <w:rsid w:val="00FB5262"/>
    <w:rsid w:val="00FC46E4"/>
    <w:rsid w:val="00FC7275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31</cp:revision>
  <cp:lastPrinted>2012-04-12T21:53:00Z</cp:lastPrinted>
  <dcterms:created xsi:type="dcterms:W3CDTF">2020-10-21T22:00:00Z</dcterms:created>
  <dcterms:modified xsi:type="dcterms:W3CDTF">2020-11-20T23:09:00Z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