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61" w14:textId="60A12C08" w:rsidR="00F6527D" w:rsidRPr="005D31AD" w:rsidRDefault="009B2918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 w:cstheme="minorHAnsi"/>
          <w:noProof/>
          <w:sz w:val="22"/>
        </w:rPr>
      </w:pPr>
      <w:bookmarkStart w:id="0" w:name="xgraphic"/>
      <w:r w:rsidRPr="005D31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5A5AE23" wp14:editId="36582A72">
            <wp:simplePos x="0" y="0"/>
            <wp:positionH relativeFrom="column">
              <wp:posOffset>-14844</wp:posOffset>
            </wp:positionH>
            <wp:positionV relativeFrom="page">
              <wp:posOffset>676894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8C" w:rsidRPr="005D31AD">
        <w:rPr>
          <w:rFonts w:asciiTheme="minorHAnsi" w:hAnsiTheme="minorHAnsi" w:cstheme="minorHAnsi"/>
          <w:noProof/>
          <w:sz w:val="22"/>
        </w:rPr>
        <w:tab/>
      </w:r>
    </w:p>
    <w:p w14:paraId="373B2506" w14:textId="4056E522" w:rsidR="00F6527D" w:rsidRPr="005D31AD" w:rsidRDefault="00F6527D" w:rsidP="009B2918">
      <w:pPr>
        <w:pStyle w:val="Name"/>
        <w:tabs>
          <w:tab w:val="left" w:pos="2064"/>
        </w:tabs>
        <w:spacing w:after="0" w:line="240" w:lineRule="auto"/>
        <w:ind w:left="72" w:firstLine="720"/>
        <w:rPr>
          <w:rFonts w:asciiTheme="minorHAnsi" w:hAnsiTheme="minorHAnsi" w:cstheme="minorHAnsi"/>
          <w:noProof/>
          <w:sz w:val="22"/>
        </w:rPr>
      </w:pPr>
      <w:bookmarkStart w:id="1" w:name="_MON_1392447903"/>
      <w:bookmarkStart w:id="2" w:name="_MON_1392448925"/>
      <w:bookmarkStart w:id="3" w:name="_MON_1392448945"/>
      <w:bookmarkStart w:id="4" w:name="_MON_1392449006"/>
      <w:bookmarkStart w:id="5" w:name="_MON_1392449009"/>
      <w:bookmarkEnd w:id="1"/>
      <w:bookmarkEnd w:id="2"/>
      <w:bookmarkEnd w:id="3"/>
      <w:bookmarkEnd w:id="4"/>
      <w:bookmarkEnd w:id="5"/>
    </w:p>
    <w:p w14:paraId="1B2DEB6C" w14:textId="7DCE063D" w:rsidR="00F6527D" w:rsidRDefault="009B2918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noProof/>
          <w:sz w:val="22"/>
        </w:rPr>
        <w:tab/>
      </w:r>
    </w:p>
    <w:p w14:paraId="63D25C67" w14:textId="77777777" w:rsidR="009B2918" w:rsidRPr="009B2918" w:rsidRDefault="009B2918" w:rsidP="009B2918"/>
    <w:p w14:paraId="4BAD5DE2" w14:textId="79657FB7" w:rsidR="00995A98" w:rsidRPr="005D31AD" w:rsidRDefault="00995A98" w:rsidP="00995A98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D31AD">
        <w:rPr>
          <w:rFonts w:asciiTheme="minorHAnsi" w:hAnsiTheme="minorHAnsi" w:cstheme="minorHAnsi"/>
          <w:b/>
          <w:sz w:val="23"/>
          <w:szCs w:val="23"/>
        </w:rPr>
        <w:t xml:space="preserve">Agenda Item:  </w:t>
      </w:r>
      <w:r w:rsidRPr="005D31AD">
        <w:rPr>
          <w:rFonts w:asciiTheme="minorHAnsi" w:hAnsiTheme="minorHAnsi" w:cstheme="minorHAnsi"/>
          <w:b/>
          <w:sz w:val="23"/>
          <w:szCs w:val="23"/>
          <w:u w:val="single"/>
        </w:rPr>
        <w:tab/>
      </w:r>
      <w:r w:rsidR="002F6420">
        <w:rPr>
          <w:rFonts w:asciiTheme="minorHAnsi" w:hAnsiTheme="minorHAnsi" w:cstheme="minorHAnsi"/>
          <w:b/>
          <w:sz w:val="23"/>
          <w:szCs w:val="23"/>
          <w:u w:val="single"/>
        </w:rPr>
        <w:t>E.1</w:t>
      </w:r>
      <w:r w:rsidRPr="005D31AD">
        <w:rPr>
          <w:rFonts w:asciiTheme="minorHAnsi" w:hAnsiTheme="minorHAnsi" w:cstheme="minorHAnsi"/>
          <w:b/>
          <w:sz w:val="23"/>
          <w:szCs w:val="23"/>
          <w:u w:val="single"/>
        </w:rPr>
        <w:tab/>
      </w:r>
    </w:p>
    <w:p w14:paraId="369609AA" w14:textId="42662B43" w:rsidR="00FB118C" w:rsidRPr="005D31AD" w:rsidRDefault="005D31AD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 w:cstheme="minorHAnsi"/>
          <w:noProof/>
          <w:sz w:val="24"/>
        </w:rPr>
      </w:pPr>
      <w:r w:rsidRPr="005D31AD">
        <w:rPr>
          <w:rFonts w:asciiTheme="minorHAnsi" w:hAnsiTheme="minorHAnsi" w:cstheme="minorHAnsi"/>
          <w:noProof/>
        </w:rPr>
        <w:t>Administrative Backgrounder</w:t>
      </w:r>
    </w:p>
    <w:bookmarkEnd w:id="0"/>
    <w:p w14:paraId="34FD8065" w14:textId="77777777" w:rsidR="00F6527D" w:rsidRPr="005D31AD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 w:cstheme="minorHAnsi"/>
          <w:sz w:val="18"/>
        </w:rPr>
      </w:pPr>
      <w:r w:rsidRPr="005D31AD">
        <w:rPr>
          <w:rFonts w:asciiTheme="minorHAnsi" w:hAnsiTheme="minorHAnsi" w:cstheme="minorHAnsi"/>
          <w:sz w:val="18"/>
        </w:rPr>
        <w:tab/>
      </w:r>
      <w:r w:rsidRPr="005D31AD">
        <w:rPr>
          <w:rFonts w:asciiTheme="minorHAnsi" w:hAnsiTheme="minorHAnsi" w:cstheme="minorHAnsi"/>
          <w:sz w:val="18"/>
        </w:rPr>
        <w:tab/>
      </w:r>
    </w:p>
    <w:p w14:paraId="7C338106" w14:textId="77777777" w:rsidR="00F6527D" w:rsidRPr="005D31AD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 w:cstheme="minorHAnsi"/>
          <w:sz w:val="23"/>
          <w:szCs w:val="23"/>
        </w:rPr>
      </w:pPr>
    </w:p>
    <w:tbl>
      <w:tblPr>
        <w:tblW w:w="907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444CE5" w:rsidRPr="000D04E1" w14:paraId="2C422BD1" w14:textId="77777777" w:rsidTr="0092255E">
        <w:tc>
          <w:tcPr>
            <w:tcW w:w="2552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444CE5" w:rsidRPr="000D04E1" w:rsidRDefault="00444CE5" w:rsidP="00444CE5">
            <w:pPr>
              <w:tabs>
                <w:tab w:val="left" w:pos="1035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D04E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Title 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33E8A43E" w:rsidR="00444CE5" w:rsidRPr="000D04E1" w:rsidRDefault="00A23911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Taxation of Golf Courses in Sturgeon County</w:t>
            </w:r>
          </w:p>
        </w:tc>
      </w:tr>
      <w:tr w:rsidR="00444CE5" w:rsidRPr="000D04E1" w14:paraId="4167E806" w14:textId="77777777" w:rsidTr="0092255E">
        <w:tc>
          <w:tcPr>
            <w:tcW w:w="2552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44CE5" w:rsidRPr="000D04E1" w14:paraId="09678070" w14:textId="77777777" w:rsidTr="0092255E">
        <w:tc>
          <w:tcPr>
            <w:tcW w:w="2552" w:type="dxa"/>
            <w:tcBorders>
              <w:top w:val="single" w:sz="2" w:space="0" w:color="808080"/>
              <w:bottom w:val="nil"/>
              <w:right w:val="single" w:sz="4" w:space="0" w:color="auto"/>
            </w:tcBorders>
          </w:tcPr>
          <w:p w14:paraId="14F44F41" w14:textId="14BD4A48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D04E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Purpose of Report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4" w:space="0" w:color="auto"/>
              <w:bottom w:val="nil"/>
            </w:tcBorders>
          </w:tcPr>
          <w:p w14:paraId="7B911F37" w14:textId="039B138A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1B0B6D">
              <w:rPr>
                <w:rFonts w:asciiTheme="minorHAnsi" w:hAnsiTheme="minorHAnsi" w:cstheme="minorHAnsi"/>
                <w:sz w:val="23"/>
                <w:szCs w:val="23"/>
              </w:rPr>
              <w:t>This backgrounder is being provided to support the Notice of Motion</w:t>
            </w:r>
            <w:r w:rsidR="004972BB">
              <w:rPr>
                <w:rFonts w:asciiTheme="minorHAnsi" w:hAnsiTheme="minorHAnsi" w:cstheme="minorHAnsi"/>
                <w:sz w:val="23"/>
                <w:szCs w:val="23"/>
              </w:rPr>
              <w:t xml:space="preserve"> made by</w:t>
            </w:r>
            <w:r w:rsidR="004972BB" w:rsidRPr="001B0B6D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1B0B6D">
              <w:rPr>
                <w:rFonts w:asciiTheme="minorHAnsi" w:hAnsiTheme="minorHAnsi" w:cstheme="minorHAnsi"/>
                <w:sz w:val="23"/>
                <w:szCs w:val="23"/>
              </w:rPr>
              <w:t>Councillor Bokenfohr</w:t>
            </w:r>
            <w:r w:rsidR="00A23911">
              <w:rPr>
                <w:rFonts w:asciiTheme="minorHAnsi" w:hAnsiTheme="minorHAnsi" w:cstheme="minorHAnsi"/>
                <w:sz w:val="23"/>
                <w:szCs w:val="23"/>
              </w:rPr>
              <w:t xml:space="preserve"> at the June 8, 2021 Council meeting directing Administration to investigate how golf courses in Sturgeon County are taxed.</w:t>
            </w:r>
          </w:p>
        </w:tc>
      </w:tr>
      <w:tr w:rsidR="00444CE5" w:rsidRPr="000D04E1" w14:paraId="04A14BD3" w14:textId="77777777" w:rsidTr="0092255E">
        <w:tc>
          <w:tcPr>
            <w:tcW w:w="2552" w:type="dxa"/>
            <w:tcBorders>
              <w:top w:val="nil"/>
              <w:bottom w:val="single" w:sz="2" w:space="0" w:color="808080"/>
              <w:right w:val="nil"/>
            </w:tcBorders>
          </w:tcPr>
          <w:p w14:paraId="5D27C161" w14:textId="77777777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808080"/>
            </w:tcBorders>
          </w:tcPr>
          <w:p w14:paraId="59329595" w14:textId="77777777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44CE5" w:rsidRPr="000D04E1" w14:paraId="07C8F13A" w14:textId="77777777" w:rsidTr="0092255E">
        <w:tc>
          <w:tcPr>
            <w:tcW w:w="2552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D04E1">
              <w:rPr>
                <w:rFonts w:asciiTheme="minorHAnsi" w:hAnsiTheme="minorHAnsi" w:cstheme="minorHAnsi"/>
                <w:b/>
                <w:sz w:val="23"/>
                <w:szCs w:val="23"/>
              </w:rPr>
              <w:t>Proposed Motion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0A62883D" w:rsidR="00444CE5" w:rsidRPr="000D04E1" w:rsidRDefault="00444CE5" w:rsidP="00444CE5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theme="minorHAnsi"/>
                <w:sz w:val="23"/>
                <w:szCs w:val="23"/>
              </w:rPr>
            </w:pPr>
            <w:r w:rsidRPr="001B0B6D">
              <w:rPr>
                <w:rFonts w:asciiTheme="minorHAnsi" w:hAnsiTheme="minorHAnsi" w:cstheme="minorHAnsi"/>
                <w:sz w:val="23"/>
                <w:szCs w:val="23"/>
              </w:rPr>
              <w:t xml:space="preserve">That Council </w:t>
            </w:r>
            <w:r w:rsidR="00A23911">
              <w:rPr>
                <w:rFonts w:asciiTheme="minorHAnsi" w:hAnsiTheme="minorHAnsi" w:cstheme="minorHAnsi"/>
                <w:sz w:val="23"/>
                <w:szCs w:val="23"/>
              </w:rPr>
              <w:t xml:space="preserve">direct Administration to investigate how golf courses in Sturgeon County are taxed, including a comparison with other seasonal businesses within Sturgeon County and a jurisdictional scan with comparator municipalities, to be presented no later than the August 24, 2021 Council meeting. </w:t>
            </w:r>
          </w:p>
        </w:tc>
      </w:tr>
      <w:tr w:rsidR="00444CE5" w:rsidRPr="000D04E1" w14:paraId="6F333AD0" w14:textId="77777777" w:rsidTr="0092255E">
        <w:tc>
          <w:tcPr>
            <w:tcW w:w="2552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44CE5" w:rsidRPr="000D04E1" w14:paraId="5DD2EE54" w14:textId="77777777" w:rsidTr="0092255E">
        <w:tc>
          <w:tcPr>
            <w:tcW w:w="2552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77777777" w:rsidR="00444CE5" w:rsidRPr="000D04E1" w:rsidRDefault="00444CE5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D04E1">
              <w:rPr>
                <w:rFonts w:asciiTheme="minorHAnsi" w:hAnsiTheme="minorHAnsi" w:cs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8C8D5BD" w14:textId="77777777" w:rsidR="00A23911" w:rsidRPr="00A23911" w:rsidRDefault="00A23911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April 13, 2021 Regular Council Meeting</w:t>
            </w:r>
          </w:p>
          <w:p w14:paraId="61BE5515" w14:textId="2501E161" w:rsidR="00444CE5" w:rsidRPr="00A23911" w:rsidRDefault="00A23911" w:rsidP="00444CE5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Motion 206/21: That Council give third reading of Bylaw 1528/21</w:t>
            </w:r>
            <w:r w:rsidR="009A38BD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546220" w:rsidRPr="000D04E1" w14:paraId="6FB75374" w14:textId="77777777" w:rsidTr="0092255E">
        <w:tc>
          <w:tcPr>
            <w:tcW w:w="2552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0D04E1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A23911" w:rsidRDefault="00546220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1304C" w:rsidRPr="000D04E1" w14:paraId="34B76C87" w14:textId="77777777" w:rsidTr="0092255E">
        <w:tc>
          <w:tcPr>
            <w:tcW w:w="2552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5FBE7F9E" w:rsidR="00B1304C" w:rsidRPr="000D04E1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0D04E1">
              <w:rPr>
                <w:rFonts w:asciiTheme="minorHAnsi" w:hAnsiTheme="minorHAnsi" w:cstheme="minorHAnsi"/>
                <w:sz w:val="23"/>
                <w:szCs w:val="23"/>
              </w:rPr>
              <w:br w:type="page"/>
            </w:r>
            <w:r w:rsidR="000D04E1" w:rsidRPr="000D04E1">
              <w:rPr>
                <w:rFonts w:asciiTheme="minorHAnsi" w:hAnsiTheme="minorHAnsi" w:cstheme="minorHAnsi"/>
                <w:b/>
                <w:sz w:val="23"/>
                <w:szCs w:val="23"/>
              </w:rPr>
              <w:t>Strategic Alignment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40B9D89A" w14:textId="13C4FBED" w:rsidR="000D04E1" w:rsidRPr="00A23911" w:rsidRDefault="00A23911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Planned Growth and Prosperity –</w:t>
            </w: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 xml:space="preserve"> Sturgeon County has a thriving business environment that supports a strong economic foundation. </w:t>
            </w:r>
            <w:r w:rsidR="000D04E1" w:rsidRPr="00A239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546220" w:rsidRPr="000D04E1" w14:paraId="1EC672DA" w14:textId="77777777" w:rsidTr="0092255E">
        <w:tc>
          <w:tcPr>
            <w:tcW w:w="2552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0D04E1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A23911" w:rsidRDefault="00546220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237DC" w:rsidRPr="000D04E1" w14:paraId="72A440FC" w14:textId="77777777" w:rsidTr="0092255E">
        <w:tc>
          <w:tcPr>
            <w:tcW w:w="2552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E86FC0E" w:rsidR="00D237DC" w:rsidRPr="000D04E1" w:rsidRDefault="000D04E1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D04E1">
              <w:rPr>
                <w:rFonts w:asciiTheme="minorHAnsi" w:hAnsiTheme="minorHAnsi" w:cstheme="minorHAnsi"/>
                <w:b/>
                <w:sz w:val="23"/>
                <w:szCs w:val="23"/>
              </w:rPr>
              <w:t>Statutory Requirement Considerations</w:t>
            </w:r>
          </w:p>
        </w:tc>
        <w:tc>
          <w:tcPr>
            <w:tcW w:w="6520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1BED1DFD" w14:textId="14CFF63E" w:rsidR="00D237DC" w:rsidRPr="00A23911" w:rsidRDefault="00A23911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None.</w:t>
            </w:r>
          </w:p>
        </w:tc>
      </w:tr>
      <w:tr w:rsidR="00995A98" w:rsidRPr="000D04E1" w14:paraId="2BCE6B63" w14:textId="77777777" w:rsidTr="0092255E">
        <w:tc>
          <w:tcPr>
            <w:tcW w:w="2552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A23911" w:rsidRDefault="00995A98" w:rsidP="00A60A6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808080"/>
            </w:tcBorders>
          </w:tcPr>
          <w:p w14:paraId="078F9EDE" w14:textId="77777777" w:rsidR="00995A98" w:rsidRPr="00A23911" w:rsidRDefault="00995A98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B2918" w:rsidRPr="000D04E1" w14:paraId="37FC6622" w14:textId="77777777" w:rsidTr="0092255E">
        <w:tc>
          <w:tcPr>
            <w:tcW w:w="2552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43432AED" w:rsidR="009B2918" w:rsidRPr="00A23911" w:rsidRDefault="009B2918" w:rsidP="009B291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b/>
                <w:sz w:val="23"/>
                <w:szCs w:val="23"/>
              </w:rPr>
              <w:t>Alignment to Levels of Service Delivery</w:t>
            </w:r>
          </w:p>
        </w:tc>
        <w:tc>
          <w:tcPr>
            <w:tcW w:w="6520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7F06E0B2" w:rsidR="009B2918" w:rsidRPr="00A23911" w:rsidRDefault="00A23911" w:rsidP="009B291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None.</w:t>
            </w:r>
          </w:p>
        </w:tc>
      </w:tr>
      <w:tr w:rsidR="009B2918" w:rsidRPr="000D04E1" w14:paraId="34549706" w14:textId="77777777" w:rsidTr="0092255E">
        <w:tc>
          <w:tcPr>
            <w:tcW w:w="2552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9B2918" w:rsidRPr="00A23911" w:rsidRDefault="009B2918" w:rsidP="009B291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44DB53E2" w:rsidR="009B2918" w:rsidRPr="00A23911" w:rsidRDefault="009B2918" w:rsidP="009B291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237DC" w:rsidRPr="000D04E1" w14:paraId="354C8815" w14:textId="77777777" w:rsidTr="0092255E">
        <w:tc>
          <w:tcPr>
            <w:tcW w:w="2552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44A7F7B0" w:rsidR="00D237DC" w:rsidRPr="00A23911" w:rsidRDefault="000D04E1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b/>
                <w:sz w:val="23"/>
                <w:szCs w:val="23"/>
              </w:rPr>
              <w:t>Anticipated Human Resource Requirements</w:t>
            </w:r>
          </w:p>
        </w:tc>
        <w:tc>
          <w:tcPr>
            <w:tcW w:w="6520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555191A0" w14:textId="52B99851" w:rsidR="00D237DC" w:rsidRPr="00A23911" w:rsidRDefault="00A23911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Several hours of administrative time would be required to conduct a jurisdictional scan of the taxation of seasonal businesses in comparator municipalities and analyze the results for presentation to Council. </w:t>
            </w:r>
          </w:p>
        </w:tc>
      </w:tr>
      <w:tr w:rsidR="006023C3" w:rsidRPr="000D04E1" w14:paraId="3E537BB0" w14:textId="77777777" w:rsidTr="0092255E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0D04E1" w:rsidRDefault="006023C3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0D04E1" w:rsidRDefault="006023C3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D04E1" w:rsidRPr="000D04E1" w14:paraId="44F6A9AB" w14:textId="77777777" w:rsidTr="0092255E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1003EF" w14:textId="782BD56F" w:rsidR="000D04E1" w:rsidRPr="000D04E1" w:rsidRDefault="000D04E1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0D04E1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Anticipated Financial Resource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73AE68" w14:textId="67602E95" w:rsidR="000D04E1" w:rsidRPr="000D04E1" w:rsidRDefault="00A23911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None. </w:t>
            </w:r>
          </w:p>
        </w:tc>
      </w:tr>
      <w:tr w:rsidR="000D04E1" w:rsidRPr="000D04E1" w14:paraId="53C6C902" w14:textId="77777777" w:rsidTr="0092255E"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14:paraId="11A8AF18" w14:textId="77777777" w:rsidR="000D04E1" w:rsidRPr="000D04E1" w:rsidRDefault="000D04E1" w:rsidP="00F013A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</w:tcBorders>
          </w:tcPr>
          <w:p w14:paraId="0F51E4E4" w14:textId="77777777" w:rsidR="000D04E1" w:rsidRPr="000D04E1" w:rsidRDefault="000D04E1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C0A5D" w:rsidRPr="000D04E1" w14:paraId="6935042E" w14:textId="77777777" w:rsidTr="0092255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ACAE" w14:textId="3E1CB8D4" w:rsidR="00CC0A5D" w:rsidRPr="000D04E1" w:rsidRDefault="000D04E1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Additional Background Information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6DCC33" w14:textId="77777777" w:rsidR="00A23911" w:rsidRPr="00A23911" w:rsidRDefault="00A23911" w:rsidP="00A2391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Taxes for all property in Sturgeon County are established by multiplying the property assessment by the applicable tax rate for each assessment class.  </w:t>
            </w:r>
          </w:p>
          <w:p w14:paraId="7C3FA18E" w14:textId="77777777" w:rsidR="00A23911" w:rsidRPr="00A23911" w:rsidRDefault="00A23911" w:rsidP="00A23911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  <w:p w14:paraId="3025CD68" w14:textId="60BCC913" w:rsidR="00A23911" w:rsidRPr="00A23911" w:rsidRDefault="00A23911" w:rsidP="00A2391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The legislation </w:t>
            </w:r>
            <w:r w:rsidRPr="00A23911">
              <w:rPr>
                <w:rFonts w:asciiTheme="minorHAnsi" w:hAnsiTheme="minorHAnsi" w:cstheme="minorHAnsi"/>
                <w:i/>
                <w:iCs/>
                <w:color w:val="auto"/>
                <w:sz w:val="23"/>
                <w:szCs w:val="23"/>
              </w:rPr>
              <w:t>(Matters Relating to Assessment and Taxation Regulation,</w:t>
            </w:r>
            <w:r w:rsidR="007A6CA6">
              <w:rPr>
                <w:rFonts w:asciiTheme="minorHAnsi" w:hAnsiTheme="minorHAnsi" w:cstheme="minorHAnsi"/>
                <w:i/>
                <w:iCs/>
                <w:color w:val="auto"/>
                <w:sz w:val="23"/>
                <w:szCs w:val="23"/>
              </w:rPr>
              <w:t xml:space="preserve"> </w:t>
            </w:r>
            <w:r w:rsidRPr="00A23911">
              <w:rPr>
                <w:rFonts w:asciiTheme="minorHAnsi" w:hAnsiTheme="minorHAnsi" w:cstheme="minorHAnsi"/>
                <w:i/>
                <w:iCs/>
                <w:color w:val="auto"/>
                <w:sz w:val="23"/>
                <w:szCs w:val="23"/>
              </w:rPr>
              <w:t>2018, Alta Reg 203/17[MRAT])</w:t>
            </w: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requires that </w:t>
            </w: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lastRenderedPageBreak/>
              <w:t>assessments represent “</w:t>
            </w:r>
            <w:r w:rsidR="00F63AD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m</w:t>
            </w:r>
            <w:r w:rsidRPr="00A23911">
              <w:rPr>
                <w:rFonts w:asciiTheme="minorHAnsi" w:hAnsiTheme="minorHAnsi" w:cstheme="minorHAnsi"/>
                <w:i/>
                <w:iCs/>
                <w:color w:val="auto"/>
                <w:sz w:val="23"/>
                <w:szCs w:val="23"/>
              </w:rPr>
              <w:t>arket value</w:t>
            </w: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”, be prepared using “</w:t>
            </w:r>
            <w:r w:rsidR="00F63AD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m</w:t>
            </w:r>
            <w:r w:rsidRPr="00A23911">
              <w:rPr>
                <w:rFonts w:asciiTheme="minorHAnsi" w:hAnsiTheme="minorHAnsi" w:cstheme="minorHAnsi"/>
                <w:i/>
                <w:iCs/>
                <w:color w:val="auto"/>
                <w:sz w:val="23"/>
                <w:szCs w:val="23"/>
              </w:rPr>
              <w:t>ass appraisal</w:t>
            </w: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”, and meet the “</w:t>
            </w:r>
            <w:r w:rsidR="00F63AD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q</w:t>
            </w: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uality standards” prescribed by the </w:t>
            </w:r>
            <w:r w:rsidR="00F63AD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P</w:t>
            </w: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rovince in the regulations. </w:t>
            </w:r>
          </w:p>
          <w:p w14:paraId="3545DC55" w14:textId="77777777" w:rsidR="00A23911" w:rsidRPr="00A23911" w:rsidRDefault="00A23911" w:rsidP="00A23911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</w:p>
          <w:p w14:paraId="542282A4" w14:textId="2118DF6E" w:rsidR="00A23911" w:rsidRPr="00A23911" w:rsidRDefault="00A23911" w:rsidP="00A2391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Market value is the valuation standard for property other than the following regulated property: Agricultural use land, Railway, Linear property, </w:t>
            </w:r>
            <w:r w:rsidR="00F63AD8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and </w:t>
            </w: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Machinery and Equipment</w:t>
            </w:r>
            <w:r w:rsidRPr="00A23911">
              <w:rPr>
                <w:rFonts w:asciiTheme="minorHAnsi" w:hAnsiTheme="minorHAnsi" w:cstheme="minorHAnsi"/>
                <w:i/>
                <w:sz w:val="23"/>
                <w:szCs w:val="23"/>
              </w:rPr>
              <w:t>.</w:t>
            </w:r>
          </w:p>
          <w:p w14:paraId="4AFABEA5" w14:textId="77777777" w:rsidR="00A23911" w:rsidRPr="00A23911" w:rsidRDefault="00A23911" w:rsidP="00A23911">
            <w:pPr>
              <w:pStyle w:val="Default"/>
              <w:ind w:left="360"/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</w:pPr>
          </w:p>
          <w:p w14:paraId="10709D75" w14:textId="77777777" w:rsidR="00A23911" w:rsidRPr="00A23911" w:rsidRDefault="00A23911" w:rsidP="00A2391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Golf courses and other seasonal properties are subject to the same tax rate as all other non-residential properties in Sturgeon County.</w:t>
            </w:r>
          </w:p>
          <w:p w14:paraId="4B5538FE" w14:textId="77777777" w:rsidR="00A23911" w:rsidRPr="00A23911" w:rsidRDefault="00A23911" w:rsidP="00A23911">
            <w:pPr>
              <w:pStyle w:val="ListParagraph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F78378D" w14:textId="107833CA" w:rsidR="00A23911" w:rsidRPr="00A23911" w:rsidRDefault="00A23911" w:rsidP="00A23911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Under the Municipal Government Act (MGA), Council must pass an annual property tax bylaw. Bylaw 1528/21, the 2021 Taxation Rates Bylaw, was passed on April 13, 2021. </w:t>
            </w:r>
          </w:p>
          <w:p w14:paraId="61F7D671" w14:textId="77777777" w:rsidR="00A23911" w:rsidRPr="00A23911" w:rsidRDefault="00A23911" w:rsidP="00A2391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BEA8C0E" w14:textId="77777777" w:rsidR="00A23911" w:rsidRPr="00A23911" w:rsidRDefault="00A23911" w:rsidP="00A23911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The MGA allows the four classes of assessment that can be applied to a property:</w:t>
            </w:r>
          </w:p>
          <w:p w14:paraId="700C0193" w14:textId="77777777" w:rsidR="00A23911" w:rsidRPr="00A23911" w:rsidRDefault="00A23911" w:rsidP="00A23911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Class 1: residential</w:t>
            </w:r>
          </w:p>
          <w:p w14:paraId="17A5546C" w14:textId="77777777" w:rsidR="00A23911" w:rsidRPr="00A23911" w:rsidRDefault="00A23911" w:rsidP="00A23911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Class 2: non-residential</w:t>
            </w:r>
          </w:p>
          <w:p w14:paraId="3CA47BFE" w14:textId="77777777" w:rsidR="00A23911" w:rsidRPr="00A23911" w:rsidRDefault="00A23911" w:rsidP="00A23911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Class 3: farmland</w:t>
            </w:r>
          </w:p>
          <w:p w14:paraId="0D358110" w14:textId="77777777" w:rsidR="00A23911" w:rsidRPr="00A23911" w:rsidRDefault="00A23911" w:rsidP="00A23911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Class 4: machinery and equipment</w:t>
            </w:r>
          </w:p>
          <w:p w14:paraId="58A508B8" w14:textId="77777777" w:rsidR="00A23911" w:rsidRPr="00A23911" w:rsidRDefault="00A23911" w:rsidP="00A23911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4E4C66BD" w14:textId="7080696A" w:rsidR="00A23911" w:rsidRPr="00A23911" w:rsidRDefault="00A23911" w:rsidP="00A2391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 xml:space="preserve">Under section 354(3), different tax rates can be established for each assessment class (or sub-class) set within the property tax bylaw. Establishing different rates within a sub-class is “splitting the mill </w:t>
            </w:r>
            <w:r w:rsidRPr="00F63AD8">
              <w:rPr>
                <w:rFonts w:asciiTheme="minorHAnsi" w:hAnsiTheme="minorHAnsi" w:cstheme="minorHAnsi"/>
                <w:sz w:val="23"/>
                <w:szCs w:val="23"/>
              </w:rPr>
              <w:t>(or tax)</w:t>
            </w: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 xml:space="preserve"> rate.”  </w:t>
            </w:r>
            <w:r w:rsidR="00F63AD8">
              <w:rPr>
                <w:rFonts w:asciiTheme="minorHAnsi" w:hAnsiTheme="minorHAnsi" w:cstheme="minorHAnsi"/>
                <w:sz w:val="23"/>
                <w:szCs w:val="23"/>
              </w:rPr>
              <w:t xml:space="preserve">Council did not choose to split the tax rate in the 2021 Taxation Rates Bylaw. </w:t>
            </w:r>
          </w:p>
          <w:p w14:paraId="640E5014" w14:textId="77777777" w:rsidR="00A23911" w:rsidRPr="00A23911" w:rsidRDefault="00A23911" w:rsidP="00A23911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1422ECEE" w14:textId="09590431" w:rsidR="00A23911" w:rsidRPr="00A23911" w:rsidRDefault="00A23911" w:rsidP="00A23911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Property assessment classes and sub-classes provide Council with legislative authority to shift tax burdens between different types of property; this taxation tool is not designed to increase overall municipal tax revenues, rather</w:t>
            </w:r>
            <w:r w:rsidR="00F63AD8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 xml:space="preserve"> it addresses reallocation of tax payment.</w:t>
            </w:r>
          </w:p>
          <w:p w14:paraId="1AE81BE3" w14:textId="77777777" w:rsidR="00A23911" w:rsidRPr="00A23911" w:rsidRDefault="00A23911" w:rsidP="00A23911">
            <w:pPr>
              <w:pStyle w:val="ListParagraph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5829A7F" w14:textId="77777777" w:rsidR="00A23911" w:rsidRPr="00A23911" w:rsidRDefault="00A23911" w:rsidP="00A23911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The Matters Related to Sub-Class Assessment Regulation (MRAS) allows for three sub-classes within the ‘Class 2: non-residential’ assessment: vacant non-residential property, small business, and other non-residential property.</w:t>
            </w:r>
          </w:p>
          <w:p w14:paraId="0E6DDB79" w14:textId="0CE7B5E4" w:rsidR="00A23911" w:rsidRDefault="00A23911" w:rsidP="00A2391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3973"/>
            </w:tblGrid>
            <w:tr w:rsidR="00A23911" w:rsidRPr="00A23911" w14:paraId="1B5C14B4" w14:textId="77777777" w:rsidTr="009A38BD">
              <w:tc>
                <w:tcPr>
                  <w:tcW w:w="2321" w:type="dxa"/>
                  <w:shd w:val="clear" w:color="auto" w:fill="DAEEF3" w:themeFill="accent5" w:themeFillTint="33"/>
                </w:tcPr>
                <w:p w14:paraId="5C96EB3A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Non-residential sub-class options</w:t>
                  </w:r>
                </w:p>
              </w:tc>
              <w:tc>
                <w:tcPr>
                  <w:tcW w:w="3973" w:type="dxa"/>
                  <w:shd w:val="clear" w:color="auto" w:fill="DAEEF3" w:themeFill="accent5" w:themeFillTint="33"/>
                </w:tcPr>
                <w:p w14:paraId="24CB03C3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Details</w:t>
                  </w:r>
                </w:p>
              </w:tc>
            </w:tr>
            <w:tr w:rsidR="00A23911" w:rsidRPr="00A23911" w14:paraId="467C4339" w14:textId="77777777" w:rsidTr="009A38BD">
              <w:tc>
                <w:tcPr>
                  <w:tcW w:w="2321" w:type="dxa"/>
                  <w:vAlign w:val="center"/>
                </w:tcPr>
                <w:p w14:paraId="3692EE18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>Vacant non-residential property</w:t>
                  </w:r>
                </w:p>
              </w:tc>
              <w:tc>
                <w:tcPr>
                  <w:tcW w:w="3973" w:type="dxa"/>
                </w:tcPr>
                <w:p w14:paraId="3DC4EB1B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>Not defined in the MRAS or MGA; however, generally accepted to be undeveloped, bare land property only.</w:t>
                  </w:r>
                </w:p>
              </w:tc>
            </w:tr>
            <w:tr w:rsidR="00A23911" w:rsidRPr="00A23911" w14:paraId="6A644EFD" w14:textId="77777777" w:rsidTr="009A38BD">
              <w:tc>
                <w:tcPr>
                  <w:tcW w:w="2321" w:type="dxa"/>
                  <w:vMerge w:val="restart"/>
                  <w:vAlign w:val="center"/>
                </w:tcPr>
                <w:p w14:paraId="282BC86F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>Small business</w:t>
                  </w:r>
                </w:p>
              </w:tc>
              <w:tc>
                <w:tcPr>
                  <w:tcW w:w="3973" w:type="dxa"/>
                </w:tcPr>
                <w:p w14:paraId="32B5254A" w14:textId="75E161BE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>Business must have no more tha</w:t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n</w:t>
                  </w: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50 employees and operate under a </w:t>
                  </w: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lastRenderedPageBreak/>
                    <w:t>business licen</w:t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s</w:t>
                  </w: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>e (a municipality can choose to lower the threshold below 50 but cannot raise it higher).</w:t>
                  </w:r>
                </w:p>
              </w:tc>
            </w:tr>
            <w:tr w:rsidR="00A23911" w:rsidRPr="00A23911" w14:paraId="55705985" w14:textId="77777777" w:rsidTr="009A38BD">
              <w:tc>
                <w:tcPr>
                  <w:tcW w:w="2321" w:type="dxa"/>
                  <w:vMerge/>
                  <w:vAlign w:val="center"/>
                </w:tcPr>
                <w:p w14:paraId="25372836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3973" w:type="dxa"/>
                </w:tcPr>
                <w:p w14:paraId="500E7376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>The small business cannot be sub-leased.</w:t>
                  </w:r>
                </w:p>
              </w:tc>
            </w:tr>
            <w:tr w:rsidR="00A23911" w:rsidRPr="00A23911" w14:paraId="1DE03CB3" w14:textId="77777777" w:rsidTr="009A38BD">
              <w:tc>
                <w:tcPr>
                  <w:tcW w:w="2321" w:type="dxa"/>
                  <w:vMerge/>
                  <w:vAlign w:val="center"/>
                </w:tcPr>
                <w:p w14:paraId="5227337C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3973" w:type="dxa"/>
                </w:tcPr>
                <w:p w14:paraId="44EEF2AA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>Tax rate cannot be less than 75% of the rate applied to the other two non-residential property sub-classes. It also cannot be greater than the tax rate set for other non-residential property.</w:t>
                  </w:r>
                </w:p>
              </w:tc>
            </w:tr>
            <w:tr w:rsidR="00A23911" w:rsidRPr="00A23911" w14:paraId="65353527" w14:textId="77777777" w:rsidTr="009A38BD">
              <w:tc>
                <w:tcPr>
                  <w:tcW w:w="2321" w:type="dxa"/>
                  <w:vAlign w:val="center"/>
                </w:tcPr>
                <w:p w14:paraId="3E8569CE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>Other non-residential property</w:t>
                  </w:r>
                </w:p>
              </w:tc>
              <w:tc>
                <w:tcPr>
                  <w:tcW w:w="3973" w:type="dxa"/>
                </w:tcPr>
                <w:p w14:paraId="1F38E851" w14:textId="77777777" w:rsidR="00A23911" w:rsidRPr="00A23911" w:rsidRDefault="00A23911" w:rsidP="00A23911">
                  <w:pPr>
                    <w:contextualSpacing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A23911">
                    <w:rPr>
                      <w:rFonts w:asciiTheme="minorHAnsi" w:hAnsiTheme="minorHAnsi" w:cstheme="minorHAnsi"/>
                      <w:sz w:val="23"/>
                      <w:szCs w:val="23"/>
                    </w:rPr>
                    <w:t>Captures properties that do not fall into the other two sub-classes.</w:t>
                  </w:r>
                </w:p>
              </w:tc>
            </w:tr>
          </w:tbl>
          <w:p w14:paraId="45450F2E" w14:textId="77777777" w:rsidR="00A23911" w:rsidRPr="00A23911" w:rsidRDefault="00A23911" w:rsidP="00A23911">
            <w:pP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</w:p>
          <w:p w14:paraId="056434C7" w14:textId="77777777" w:rsidR="00A23911" w:rsidRPr="00A23911" w:rsidRDefault="00A23911" w:rsidP="00A23911">
            <w:pP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*Should a municipality wish to impose a split mill rate, at least two of the three sub-classes must be adopted within the property tax bylaw. If the sub-classes are implemented, each non-residential property must be assigned at least one sub-class.  </w:t>
            </w:r>
          </w:p>
          <w:p w14:paraId="70495A55" w14:textId="77777777" w:rsidR="00A23911" w:rsidRPr="00A23911" w:rsidRDefault="00A23911" w:rsidP="00A23911">
            <w:pP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</w:p>
          <w:p w14:paraId="491B56E1" w14:textId="77777777" w:rsidR="00A23911" w:rsidRPr="00A23911" w:rsidRDefault="00A23911" w:rsidP="00A23911">
            <w:pP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**More than one class or sub-class can be assigned to a property. For example, if 50% of a property is owned by a small business, 50% of the property would be assigned to the small business sub-class, while the remaining 50% would receive another class or sub-class.</w:t>
            </w:r>
          </w:p>
          <w:p w14:paraId="38E0D413" w14:textId="77777777" w:rsidR="00A23911" w:rsidRPr="00A23911" w:rsidRDefault="00A23911" w:rsidP="00A23911">
            <w:pPr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14:paraId="2434AAAE" w14:textId="3ACC2811" w:rsidR="00A23911" w:rsidRPr="00A23911" w:rsidRDefault="00A23911" w:rsidP="00A2391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Elements of the MRAS regulation do not provide flexibility Council may be looking for, for example:</w:t>
            </w:r>
          </w:p>
          <w:p w14:paraId="13849D85" w14:textId="550522E9" w:rsidR="00A23911" w:rsidRPr="00A23911" w:rsidRDefault="00A23911" w:rsidP="00A23911">
            <w:pPr>
              <w:pStyle w:val="ListParagraph"/>
              <w:numPr>
                <w:ilvl w:val="1"/>
                <w:numId w:val="18"/>
              </w:num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 xml:space="preserve">Creating a small business sub-class may help incentivize economic development; however, it </w:t>
            </w:r>
            <w:r w:rsidR="00F63AD8">
              <w:rPr>
                <w:rFonts w:asciiTheme="minorHAnsi" w:hAnsiTheme="minorHAnsi" w:cstheme="minorHAnsi"/>
                <w:sz w:val="23"/>
                <w:szCs w:val="23"/>
              </w:rPr>
              <w:t>applies only to</w:t>
            </w: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 xml:space="preserve"> businesses/industr</w:t>
            </w:r>
            <w:r w:rsidR="00F63AD8">
              <w:rPr>
                <w:rFonts w:asciiTheme="minorHAnsi" w:hAnsiTheme="minorHAnsi" w:cstheme="minorHAnsi"/>
                <w:sz w:val="23"/>
                <w:szCs w:val="23"/>
              </w:rPr>
              <w:t>ies that</w:t>
            </w: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 xml:space="preserve"> have no more than 50 employees and in instances where the business owner is also the property owner.</w:t>
            </w:r>
          </w:p>
          <w:p w14:paraId="62BC3473" w14:textId="687E290A" w:rsidR="00CC0A5D" w:rsidRPr="00F63AD8" w:rsidRDefault="00A23911" w:rsidP="00F63AD8">
            <w:pPr>
              <w:pStyle w:val="ListParagraph"/>
              <w:numPr>
                <w:ilvl w:val="1"/>
                <w:numId w:val="18"/>
              </w:numPr>
              <w:contextualSpacing/>
              <w:rPr>
                <w:rFonts w:asciiTheme="minorHAnsi" w:hAnsiTheme="minorHAnsi" w:cstheme="minorHAnsi"/>
                <w:sz w:val="23"/>
                <w:szCs w:val="23"/>
              </w:rPr>
            </w:pPr>
            <w:r w:rsidRPr="00A23911">
              <w:rPr>
                <w:rFonts w:asciiTheme="minorHAnsi" w:hAnsiTheme="minorHAnsi" w:cstheme="minorHAnsi"/>
                <w:sz w:val="23"/>
                <w:szCs w:val="23"/>
              </w:rPr>
              <w:t>The small business sub-class tax rate is limited to being no less than 75% of the tax rate applied to the other two non-residential property sub-classes with a municipal tax bylaw.</w:t>
            </w:r>
          </w:p>
        </w:tc>
      </w:tr>
      <w:tr w:rsidR="000D04E1" w:rsidRPr="000D04E1" w14:paraId="1B462DCF" w14:textId="77777777" w:rsidTr="0092255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90D2E7" w14:textId="77777777" w:rsidR="000D04E1" w:rsidRPr="000D04E1" w:rsidRDefault="000D04E1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</w:tcPr>
          <w:p w14:paraId="17F7DF82" w14:textId="77777777" w:rsidR="000D04E1" w:rsidRPr="000D04E1" w:rsidRDefault="000D04E1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23978" w:rsidRPr="000D04E1" w14:paraId="5F8BA5DB" w14:textId="77777777" w:rsidTr="0092255E">
        <w:tc>
          <w:tcPr>
            <w:tcW w:w="2552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323978" w:rsidRPr="000D04E1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D04E1">
              <w:rPr>
                <w:rFonts w:asciiTheme="minorHAnsi" w:hAnsiTheme="minorHAnsi" w:cs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011A24A" w14:textId="0E98A8D8" w:rsidR="00323978" w:rsidRPr="000D04E1" w:rsidRDefault="00444CE5" w:rsidP="005D31AD">
            <w:pPr>
              <w:numPr>
                <w:ilvl w:val="0"/>
                <w:numId w:val="2"/>
              </w:num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None.</w:t>
            </w:r>
          </w:p>
        </w:tc>
      </w:tr>
      <w:tr w:rsidR="00323978" w:rsidRPr="000D04E1" w14:paraId="56199574" w14:textId="77777777" w:rsidTr="0092255E">
        <w:tc>
          <w:tcPr>
            <w:tcW w:w="2552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0D04E1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0D04E1" w:rsidRDefault="00323978" w:rsidP="005D31A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23978" w:rsidRPr="000D04E1" w14:paraId="476BD852" w14:textId="77777777" w:rsidTr="0092255E">
        <w:tc>
          <w:tcPr>
            <w:tcW w:w="2552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0D04E1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D04E1">
              <w:rPr>
                <w:rFonts w:asciiTheme="minorHAnsi" w:hAnsiTheme="minorHAnsi" w:cs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6520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D19EB1B" w14:textId="7512357A" w:rsidR="00444CE5" w:rsidRDefault="00444CE5" w:rsidP="005D31AD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69A767D" w14:textId="5EBD6BB0" w:rsidR="00444CE5" w:rsidRDefault="00444CE5" w:rsidP="005D31AD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Luis Delgado, Manager, Assessment Services</w:t>
            </w:r>
          </w:p>
          <w:p w14:paraId="23D93673" w14:textId="77777777" w:rsidR="00444CE5" w:rsidRDefault="00444CE5" w:rsidP="005D31AD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AD34310" w14:textId="7075DFA8" w:rsidR="00591A7D" w:rsidRDefault="00591A7D" w:rsidP="005D31AD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Sabrina Duquette, Manager, Financial Services</w:t>
            </w:r>
          </w:p>
          <w:p w14:paraId="0DAD1960" w14:textId="77777777" w:rsidR="00591A7D" w:rsidRDefault="00591A7D" w:rsidP="005D31AD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8DBE84F" w14:textId="16291DC6" w:rsidR="000D04E1" w:rsidRPr="000D04E1" w:rsidRDefault="000D04E1" w:rsidP="005D31AD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Reegan McCullough, County Commissioner - CAO</w:t>
            </w:r>
          </w:p>
        </w:tc>
      </w:tr>
    </w:tbl>
    <w:p w14:paraId="527BE24E" w14:textId="55B7C8B5" w:rsidR="00E93F6A" w:rsidRPr="005D31AD" w:rsidRDefault="00E93F6A" w:rsidP="00444CE5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5D31AD" w:rsidSect="00995A98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6894" w14:textId="77777777" w:rsidR="009027A5" w:rsidRDefault="009027A5">
      <w:r>
        <w:separator/>
      </w:r>
    </w:p>
  </w:endnote>
  <w:endnote w:type="continuationSeparator" w:id="0">
    <w:p w14:paraId="7F877D1C" w14:textId="77777777" w:rsidR="009027A5" w:rsidRDefault="0090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02D" w14:textId="5EE43FEC" w:rsidR="00995A98" w:rsidRDefault="00F460A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 w:rsidR="00995A98"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444CE5">
      <w:rPr>
        <w:rFonts w:asciiTheme="minorHAnsi" w:hAnsiTheme="minorHAnsi"/>
        <w:b w:val="0"/>
        <w:bCs/>
        <w:color w:val="999999"/>
        <w:sz w:val="20"/>
      </w:rPr>
      <w:t>June 15, 2021</w:t>
    </w:r>
  </w:p>
  <w:p w14:paraId="4515F142" w14:textId="7FA41042" w:rsidR="00F460A6" w:rsidRPr="006F189C" w:rsidRDefault="00995A98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444CE5">
      <w:rPr>
        <w:rFonts w:asciiTheme="minorHAnsi" w:hAnsiTheme="minorHAnsi"/>
        <w:b w:val="0"/>
        <w:bCs/>
        <w:color w:val="999999"/>
        <w:sz w:val="20"/>
      </w:rPr>
      <w:t>June 22, 2021</w:t>
    </w:r>
    <w:r w:rsidR="00F460A6"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 w:rsidR="008B00D5"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="00F460A6"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99A6" w14:textId="77777777" w:rsidR="009027A5" w:rsidRDefault="009027A5">
      <w:r>
        <w:separator/>
      </w:r>
    </w:p>
  </w:footnote>
  <w:footnote w:type="continuationSeparator" w:id="0">
    <w:p w14:paraId="75F1BD1E" w14:textId="77777777" w:rsidR="009027A5" w:rsidRDefault="0090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56D9" w14:textId="0D3EEB5A" w:rsidR="009B2918" w:rsidRDefault="009B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FDA2" w14:textId="41D7A13B" w:rsidR="009B2918" w:rsidRPr="0092255E" w:rsidRDefault="009B2918">
    <w:pPr>
      <w:pStyle w:val="Header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D3AB" w14:textId="1FA16225" w:rsidR="009B2918" w:rsidRDefault="009B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657"/>
    <w:multiLevelType w:val="hybridMultilevel"/>
    <w:tmpl w:val="6E4A6C2E"/>
    <w:lvl w:ilvl="0" w:tplc="ED16EB2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457"/>
    <w:multiLevelType w:val="hybridMultilevel"/>
    <w:tmpl w:val="077C7CBE"/>
    <w:lvl w:ilvl="0" w:tplc="1009000F">
      <w:start w:val="1"/>
      <w:numFmt w:val="decimal"/>
      <w:lvlText w:val="%1."/>
      <w:lvlJc w:val="left"/>
      <w:pPr>
        <w:ind w:left="1042" w:hanging="360"/>
      </w:pPr>
    </w:lvl>
    <w:lvl w:ilvl="1" w:tplc="10090019" w:tentative="1">
      <w:start w:val="1"/>
      <w:numFmt w:val="lowerLetter"/>
      <w:lvlText w:val="%2."/>
      <w:lvlJc w:val="left"/>
      <w:pPr>
        <w:ind w:left="1762" w:hanging="360"/>
      </w:pPr>
    </w:lvl>
    <w:lvl w:ilvl="2" w:tplc="1009001B" w:tentative="1">
      <w:start w:val="1"/>
      <w:numFmt w:val="lowerRoman"/>
      <w:lvlText w:val="%3."/>
      <w:lvlJc w:val="right"/>
      <w:pPr>
        <w:ind w:left="2482" w:hanging="180"/>
      </w:pPr>
    </w:lvl>
    <w:lvl w:ilvl="3" w:tplc="1009000F" w:tentative="1">
      <w:start w:val="1"/>
      <w:numFmt w:val="decimal"/>
      <w:lvlText w:val="%4."/>
      <w:lvlJc w:val="left"/>
      <w:pPr>
        <w:ind w:left="3202" w:hanging="360"/>
      </w:pPr>
    </w:lvl>
    <w:lvl w:ilvl="4" w:tplc="10090019" w:tentative="1">
      <w:start w:val="1"/>
      <w:numFmt w:val="lowerLetter"/>
      <w:lvlText w:val="%5."/>
      <w:lvlJc w:val="left"/>
      <w:pPr>
        <w:ind w:left="3922" w:hanging="360"/>
      </w:pPr>
    </w:lvl>
    <w:lvl w:ilvl="5" w:tplc="1009001B" w:tentative="1">
      <w:start w:val="1"/>
      <w:numFmt w:val="lowerRoman"/>
      <w:lvlText w:val="%6."/>
      <w:lvlJc w:val="right"/>
      <w:pPr>
        <w:ind w:left="4642" w:hanging="180"/>
      </w:pPr>
    </w:lvl>
    <w:lvl w:ilvl="6" w:tplc="1009000F" w:tentative="1">
      <w:start w:val="1"/>
      <w:numFmt w:val="decimal"/>
      <w:lvlText w:val="%7."/>
      <w:lvlJc w:val="left"/>
      <w:pPr>
        <w:ind w:left="5362" w:hanging="360"/>
      </w:pPr>
    </w:lvl>
    <w:lvl w:ilvl="7" w:tplc="10090019" w:tentative="1">
      <w:start w:val="1"/>
      <w:numFmt w:val="lowerLetter"/>
      <w:lvlText w:val="%8."/>
      <w:lvlJc w:val="left"/>
      <w:pPr>
        <w:ind w:left="6082" w:hanging="360"/>
      </w:pPr>
    </w:lvl>
    <w:lvl w:ilvl="8" w:tplc="10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25752271"/>
    <w:multiLevelType w:val="hybridMultilevel"/>
    <w:tmpl w:val="829C1D30"/>
    <w:lvl w:ilvl="0" w:tplc="ED16EB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73D9"/>
    <w:multiLevelType w:val="hybridMultilevel"/>
    <w:tmpl w:val="28CED082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C2570"/>
    <w:multiLevelType w:val="hybridMultilevel"/>
    <w:tmpl w:val="7DD6E2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93D6E"/>
    <w:multiLevelType w:val="hybridMultilevel"/>
    <w:tmpl w:val="CDAA6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04A4B"/>
    <w:multiLevelType w:val="hybridMultilevel"/>
    <w:tmpl w:val="60F076A8"/>
    <w:lvl w:ilvl="0" w:tplc="79AE75FA">
      <w:numFmt w:val="bullet"/>
      <w:lvlText w:val="•"/>
      <w:lvlJc w:val="left"/>
      <w:pPr>
        <w:ind w:left="3600" w:hanging="324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1CB5"/>
    <w:multiLevelType w:val="hybridMultilevel"/>
    <w:tmpl w:val="8FAE9662"/>
    <w:lvl w:ilvl="0" w:tplc="EAD0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86C7E12"/>
    <w:multiLevelType w:val="hybridMultilevel"/>
    <w:tmpl w:val="A552C4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217"/>
    <w:multiLevelType w:val="hybridMultilevel"/>
    <w:tmpl w:val="BAE211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618E3"/>
    <w:multiLevelType w:val="hybridMultilevel"/>
    <w:tmpl w:val="7EAAC80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993BCE"/>
    <w:multiLevelType w:val="hybridMultilevel"/>
    <w:tmpl w:val="26444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97172"/>
    <w:multiLevelType w:val="hybridMultilevel"/>
    <w:tmpl w:val="C5CA6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166FA"/>
    <w:multiLevelType w:val="hybridMultilevel"/>
    <w:tmpl w:val="4CEA45D4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D5AEA"/>
    <w:multiLevelType w:val="hybridMultilevel"/>
    <w:tmpl w:val="18EED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17"/>
  </w:num>
  <w:num w:numId="11">
    <w:abstractNumId w:val="0"/>
  </w:num>
  <w:num w:numId="12">
    <w:abstractNumId w:val="18"/>
  </w:num>
  <w:num w:numId="13">
    <w:abstractNumId w:val="11"/>
  </w:num>
  <w:num w:numId="14">
    <w:abstractNumId w:val="16"/>
  </w:num>
  <w:num w:numId="15">
    <w:abstractNumId w:val="9"/>
  </w:num>
  <w:num w:numId="16">
    <w:abstractNumId w:val="5"/>
  </w:num>
  <w:num w:numId="17">
    <w:abstractNumId w:val="3"/>
  </w:num>
  <w:num w:numId="18">
    <w:abstractNumId w:val="15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10397"/>
    <w:rsid w:val="00013A8B"/>
    <w:rsid w:val="00023FDB"/>
    <w:rsid w:val="000429B5"/>
    <w:rsid w:val="00042A61"/>
    <w:rsid w:val="00044C12"/>
    <w:rsid w:val="00050BCD"/>
    <w:rsid w:val="00055F3B"/>
    <w:rsid w:val="00065AE5"/>
    <w:rsid w:val="00075F5C"/>
    <w:rsid w:val="00077129"/>
    <w:rsid w:val="000835DE"/>
    <w:rsid w:val="00095A83"/>
    <w:rsid w:val="000B118C"/>
    <w:rsid w:val="000D04E1"/>
    <w:rsid w:val="000E190B"/>
    <w:rsid w:val="000F5525"/>
    <w:rsid w:val="00101776"/>
    <w:rsid w:val="00124814"/>
    <w:rsid w:val="001308E8"/>
    <w:rsid w:val="00142DD5"/>
    <w:rsid w:val="001448FA"/>
    <w:rsid w:val="00170E32"/>
    <w:rsid w:val="0018386A"/>
    <w:rsid w:val="001848A0"/>
    <w:rsid w:val="0018529E"/>
    <w:rsid w:val="00194938"/>
    <w:rsid w:val="001A3DD6"/>
    <w:rsid w:val="001B202F"/>
    <w:rsid w:val="001C134D"/>
    <w:rsid w:val="001D1AED"/>
    <w:rsid w:val="001D28FD"/>
    <w:rsid w:val="001E79C9"/>
    <w:rsid w:val="00200AE3"/>
    <w:rsid w:val="00202F3A"/>
    <w:rsid w:val="0020414F"/>
    <w:rsid w:val="00211D4B"/>
    <w:rsid w:val="002158FF"/>
    <w:rsid w:val="00241F15"/>
    <w:rsid w:val="00245E2C"/>
    <w:rsid w:val="002601A2"/>
    <w:rsid w:val="00280178"/>
    <w:rsid w:val="00286002"/>
    <w:rsid w:val="00290B0D"/>
    <w:rsid w:val="002D5DC2"/>
    <w:rsid w:val="002F39E5"/>
    <w:rsid w:val="002F6420"/>
    <w:rsid w:val="0030162C"/>
    <w:rsid w:val="00305A9E"/>
    <w:rsid w:val="00306935"/>
    <w:rsid w:val="0032153A"/>
    <w:rsid w:val="00323978"/>
    <w:rsid w:val="00334904"/>
    <w:rsid w:val="00335992"/>
    <w:rsid w:val="003439C5"/>
    <w:rsid w:val="00353FC5"/>
    <w:rsid w:val="003751B2"/>
    <w:rsid w:val="003853BE"/>
    <w:rsid w:val="0039117E"/>
    <w:rsid w:val="00394141"/>
    <w:rsid w:val="003973AF"/>
    <w:rsid w:val="00397440"/>
    <w:rsid w:val="003A3593"/>
    <w:rsid w:val="003A37AD"/>
    <w:rsid w:val="003B74CB"/>
    <w:rsid w:val="003C224D"/>
    <w:rsid w:val="003C729B"/>
    <w:rsid w:val="003D063E"/>
    <w:rsid w:val="003E6787"/>
    <w:rsid w:val="00406A37"/>
    <w:rsid w:val="00407577"/>
    <w:rsid w:val="00410AD4"/>
    <w:rsid w:val="00414F03"/>
    <w:rsid w:val="0043439B"/>
    <w:rsid w:val="00444CE5"/>
    <w:rsid w:val="00445C9E"/>
    <w:rsid w:val="00454159"/>
    <w:rsid w:val="00461A8C"/>
    <w:rsid w:val="004972BB"/>
    <w:rsid w:val="004A31DF"/>
    <w:rsid w:val="004B2DA7"/>
    <w:rsid w:val="004B61AE"/>
    <w:rsid w:val="004D01B2"/>
    <w:rsid w:val="004D13A7"/>
    <w:rsid w:val="004D411A"/>
    <w:rsid w:val="004D4494"/>
    <w:rsid w:val="004D7C21"/>
    <w:rsid w:val="004E02C8"/>
    <w:rsid w:val="004E2D44"/>
    <w:rsid w:val="004E4C16"/>
    <w:rsid w:val="004F333F"/>
    <w:rsid w:val="005201F1"/>
    <w:rsid w:val="0052158F"/>
    <w:rsid w:val="0052471D"/>
    <w:rsid w:val="005251FD"/>
    <w:rsid w:val="00526683"/>
    <w:rsid w:val="005314F4"/>
    <w:rsid w:val="005349BF"/>
    <w:rsid w:val="00546220"/>
    <w:rsid w:val="00547FE8"/>
    <w:rsid w:val="00550564"/>
    <w:rsid w:val="00562E77"/>
    <w:rsid w:val="00564E9C"/>
    <w:rsid w:val="00571759"/>
    <w:rsid w:val="00574452"/>
    <w:rsid w:val="0058262F"/>
    <w:rsid w:val="00585FC3"/>
    <w:rsid w:val="00591A7D"/>
    <w:rsid w:val="005A0861"/>
    <w:rsid w:val="005B5E44"/>
    <w:rsid w:val="005D31AD"/>
    <w:rsid w:val="005D776C"/>
    <w:rsid w:val="005E4B38"/>
    <w:rsid w:val="005E626E"/>
    <w:rsid w:val="005F0217"/>
    <w:rsid w:val="005F4D56"/>
    <w:rsid w:val="005F7308"/>
    <w:rsid w:val="0060226A"/>
    <w:rsid w:val="006023C3"/>
    <w:rsid w:val="00602885"/>
    <w:rsid w:val="00624ACD"/>
    <w:rsid w:val="00636010"/>
    <w:rsid w:val="006634C1"/>
    <w:rsid w:val="00664295"/>
    <w:rsid w:val="00672200"/>
    <w:rsid w:val="0067613E"/>
    <w:rsid w:val="0068496D"/>
    <w:rsid w:val="00692CA5"/>
    <w:rsid w:val="00696DD6"/>
    <w:rsid w:val="006A1244"/>
    <w:rsid w:val="006D336A"/>
    <w:rsid w:val="006D4BF5"/>
    <w:rsid w:val="006D57FB"/>
    <w:rsid w:val="006E7AC5"/>
    <w:rsid w:val="006F189C"/>
    <w:rsid w:val="006F34C1"/>
    <w:rsid w:val="0070601B"/>
    <w:rsid w:val="00710FFE"/>
    <w:rsid w:val="00721780"/>
    <w:rsid w:val="00741697"/>
    <w:rsid w:val="007418E8"/>
    <w:rsid w:val="00745013"/>
    <w:rsid w:val="00745E2B"/>
    <w:rsid w:val="007861D2"/>
    <w:rsid w:val="007910CD"/>
    <w:rsid w:val="007961DA"/>
    <w:rsid w:val="00796DE8"/>
    <w:rsid w:val="007A19AD"/>
    <w:rsid w:val="007A6CA6"/>
    <w:rsid w:val="007B2527"/>
    <w:rsid w:val="007B4182"/>
    <w:rsid w:val="007C490E"/>
    <w:rsid w:val="007C69F2"/>
    <w:rsid w:val="007C6DFB"/>
    <w:rsid w:val="007C7413"/>
    <w:rsid w:val="007D0FAD"/>
    <w:rsid w:val="007D153E"/>
    <w:rsid w:val="007E0FE2"/>
    <w:rsid w:val="007E42F4"/>
    <w:rsid w:val="0083066C"/>
    <w:rsid w:val="008314BE"/>
    <w:rsid w:val="00854B04"/>
    <w:rsid w:val="008654B0"/>
    <w:rsid w:val="00865C96"/>
    <w:rsid w:val="008675A1"/>
    <w:rsid w:val="0087132E"/>
    <w:rsid w:val="00876FFA"/>
    <w:rsid w:val="008824D5"/>
    <w:rsid w:val="00887818"/>
    <w:rsid w:val="00892A3C"/>
    <w:rsid w:val="00895684"/>
    <w:rsid w:val="00896CDE"/>
    <w:rsid w:val="008B00D5"/>
    <w:rsid w:val="008B5DBE"/>
    <w:rsid w:val="008E06B8"/>
    <w:rsid w:val="008E140E"/>
    <w:rsid w:val="008E2CCE"/>
    <w:rsid w:val="008F0889"/>
    <w:rsid w:val="009027A5"/>
    <w:rsid w:val="0091072C"/>
    <w:rsid w:val="009155A1"/>
    <w:rsid w:val="0092255E"/>
    <w:rsid w:val="00924D4B"/>
    <w:rsid w:val="00940FD8"/>
    <w:rsid w:val="009438F8"/>
    <w:rsid w:val="00952915"/>
    <w:rsid w:val="00956CBB"/>
    <w:rsid w:val="00964F15"/>
    <w:rsid w:val="00966A65"/>
    <w:rsid w:val="00975691"/>
    <w:rsid w:val="00990948"/>
    <w:rsid w:val="00991E0B"/>
    <w:rsid w:val="00992937"/>
    <w:rsid w:val="00995A98"/>
    <w:rsid w:val="009A38BD"/>
    <w:rsid w:val="009A43FC"/>
    <w:rsid w:val="009A6A22"/>
    <w:rsid w:val="009B2918"/>
    <w:rsid w:val="009C3FEF"/>
    <w:rsid w:val="009F5513"/>
    <w:rsid w:val="00A174F1"/>
    <w:rsid w:val="00A23911"/>
    <w:rsid w:val="00A26503"/>
    <w:rsid w:val="00A43A93"/>
    <w:rsid w:val="00A44FB1"/>
    <w:rsid w:val="00A514B9"/>
    <w:rsid w:val="00A554B7"/>
    <w:rsid w:val="00A5595D"/>
    <w:rsid w:val="00A61D76"/>
    <w:rsid w:val="00A651F5"/>
    <w:rsid w:val="00A75467"/>
    <w:rsid w:val="00A82A30"/>
    <w:rsid w:val="00AA3545"/>
    <w:rsid w:val="00AA702D"/>
    <w:rsid w:val="00AB2778"/>
    <w:rsid w:val="00AC21F2"/>
    <w:rsid w:val="00AD2A95"/>
    <w:rsid w:val="00AE0152"/>
    <w:rsid w:val="00B03676"/>
    <w:rsid w:val="00B1304C"/>
    <w:rsid w:val="00B215D9"/>
    <w:rsid w:val="00B26225"/>
    <w:rsid w:val="00B2766F"/>
    <w:rsid w:val="00B4148F"/>
    <w:rsid w:val="00B41C7A"/>
    <w:rsid w:val="00B537B7"/>
    <w:rsid w:val="00B5663F"/>
    <w:rsid w:val="00B670F2"/>
    <w:rsid w:val="00B72930"/>
    <w:rsid w:val="00B72C87"/>
    <w:rsid w:val="00B75380"/>
    <w:rsid w:val="00B85225"/>
    <w:rsid w:val="00B8593D"/>
    <w:rsid w:val="00B87778"/>
    <w:rsid w:val="00BB1517"/>
    <w:rsid w:val="00BC49CA"/>
    <w:rsid w:val="00BC5AC3"/>
    <w:rsid w:val="00BD33DA"/>
    <w:rsid w:val="00BF3302"/>
    <w:rsid w:val="00C00AA1"/>
    <w:rsid w:val="00C02B01"/>
    <w:rsid w:val="00C14EEB"/>
    <w:rsid w:val="00C36C13"/>
    <w:rsid w:val="00C433CD"/>
    <w:rsid w:val="00C52FA7"/>
    <w:rsid w:val="00C62EB6"/>
    <w:rsid w:val="00C805A9"/>
    <w:rsid w:val="00C82387"/>
    <w:rsid w:val="00C8731C"/>
    <w:rsid w:val="00C96967"/>
    <w:rsid w:val="00CB2F2D"/>
    <w:rsid w:val="00CB3C92"/>
    <w:rsid w:val="00CC0A5D"/>
    <w:rsid w:val="00CC7707"/>
    <w:rsid w:val="00CE0109"/>
    <w:rsid w:val="00CF27C6"/>
    <w:rsid w:val="00D01131"/>
    <w:rsid w:val="00D02EDE"/>
    <w:rsid w:val="00D10FAD"/>
    <w:rsid w:val="00D20C46"/>
    <w:rsid w:val="00D21E35"/>
    <w:rsid w:val="00D2364E"/>
    <w:rsid w:val="00D237DC"/>
    <w:rsid w:val="00D33E3B"/>
    <w:rsid w:val="00D35182"/>
    <w:rsid w:val="00D35A11"/>
    <w:rsid w:val="00D41218"/>
    <w:rsid w:val="00D676AE"/>
    <w:rsid w:val="00D77E75"/>
    <w:rsid w:val="00D81514"/>
    <w:rsid w:val="00D94BC7"/>
    <w:rsid w:val="00D97C8E"/>
    <w:rsid w:val="00DA20C7"/>
    <w:rsid w:val="00DB71F7"/>
    <w:rsid w:val="00DC051C"/>
    <w:rsid w:val="00DD576C"/>
    <w:rsid w:val="00DD6EF0"/>
    <w:rsid w:val="00DE0E09"/>
    <w:rsid w:val="00DF392F"/>
    <w:rsid w:val="00DF5B58"/>
    <w:rsid w:val="00E035F4"/>
    <w:rsid w:val="00E06100"/>
    <w:rsid w:val="00E172EB"/>
    <w:rsid w:val="00E22352"/>
    <w:rsid w:val="00E345FC"/>
    <w:rsid w:val="00E479A3"/>
    <w:rsid w:val="00E52909"/>
    <w:rsid w:val="00E56320"/>
    <w:rsid w:val="00E765AE"/>
    <w:rsid w:val="00E76C00"/>
    <w:rsid w:val="00E77550"/>
    <w:rsid w:val="00E9281E"/>
    <w:rsid w:val="00E93F6A"/>
    <w:rsid w:val="00E979B7"/>
    <w:rsid w:val="00EC79C2"/>
    <w:rsid w:val="00ED178D"/>
    <w:rsid w:val="00EE2F1B"/>
    <w:rsid w:val="00EE4830"/>
    <w:rsid w:val="00EF579C"/>
    <w:rsid w:val="00F022E9"/>
    <w:rsid w:val="00F06FBD"/>
    <w:rsid w:val="00F168A5"/>
    <w:rsid w:val="00F17838"/>
    <w:rsid w:val="00F21DF5"/>
    <w:rsid w:val="00F40663"/>
    <w:rsid w:val="00F43911"/>
    <w:rsid w:val="00F460A6"/>
    <w:rsid w:val="00F54796"/>
    <w:rsid w:val="00F60F12"/>
    <w:rsid w:val="00F60F1B"/>
    <w:rsid w:val="00F63AD8"/>
    <w:rsid w:val="00F6527D"/>
    <w:rsid w:val="00F7350C"/>
    <w:rsid w:val="00F7421E"/>
    <w:rsid w:val="00F95566"/>
    <w:rsid w:val="00FA228B"/>
    <w:rsid w:val="00FB118C"/>
    <w:rsid w:val="00FD1263"/>
    <w:rsid w:val="00FE6126"/>
    <w:rsid w:val="00FE6166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3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  <w:style w:type="paragraph" w:customStyle="1" w:styleId="Default">
    <w:name w:val="Default"/>
    <w:rsid w:val="00A23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8CC8BF-1562-468B-9573-471702DA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Dianne Mason</cp:lastModifiedBy>
  <cp:revision>7</cp:revision>
  <cp:lastPrinted>2012-04-12T21:53:00Z</cp:lastPrinted>
  <dcterms:created xsi:type="dcterms:W3CDTF">2021-06-17T16:07:00Z</dcterms:created>
  <dcterms:modified xsi:type="dcterms:W3CDTF">2021-06-18T23:08:00Z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