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569808F1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90345C">
        <w:rPr>
          <w:rFonts w:asciiTheme="minorHAnsi" w:hAnsiTheme="minorHAnsi"/>
          <w:b/>
          <w:sz w:val="23"/>
          <w:szCs w:val="23"/>
          <w:u w:val="single"/>
        </w:rPr>
        <w:t>D.6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21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299"/>
      </w:tblGrid>
      <w:tr w:rsidR="00C02B01" w:rsidRPr="00995A98" w14:paraId="2C422BD1" w14:textId="77777777" w:rsidTr="00FF4F7D">
        <w:tc>
          <w:tcPr>
            <w:tcW w:w="1915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99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2ECF5C05" w:rsidR="00CC7707" w:rsidRPr="00995A98" w:rsidRDefault="00F5152F" w:rsidP="005254BB">
            <w:pPr>
              <w:tabs>
                <w:tab w:val="left" w:pos="3240"/>
                <w:tab w:val="right" w:pos="6318"/>
              </w:tabs>
              <w:ind w:right="38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 w:rsidRPr="000E13B1">
              <w:rPr>
                <w:rFonts w:asciiTheme="minorHAnsi" w:hAnsiTheme="minorHAnsi"/>
                <w:b/>
                <w:sz w:val="23"/>
                <w:szCs w:val="23"/>
              </w:rPr>
              <w:t>02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1 Gravel Road Stabilization Contract Award</w:t>
            </w:r>
          </w:p>
        </w:tc>
      </w:tr>
      <w:tr w:rsidR="005F4D56" w:rsidRPr="00995A98" w14:paraId="4167E806" w14:textId="77777777" w:rsidTr="00FF4F7D">
        <w:tc>
          <w:tcPr>
            <w:tcW w:w="1915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FF4F7D">
        <w:tc>
          <w:tcPr>
            <w:tcW w:w="1915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299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EB4F3A3" w14:textId="3AAACBD3" w:rsidR="00F5152F" w:rsidRPr="00CB17B5" w:rsidRDefault="00F5152F" w:rsidP="005254BB">
            <w:pPr>
              <w:pStyle w:val="BodyText"/>
              <w:numPr>
                <w:ilvl w:val="0"/>
                <w:numId w:val="18"/>
              </w:numPr>
              <w:tabs>
                <w:tab w:val="right" w:pos="5016"/>
              </w:tabs>
              <w:spacing w:after="0" w:line="240" w:lineRule="auto"/>
              <w:ind w:left="357" w:right="38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0E13B1">
              <w:rPr>
                <w:rFonts w:asciiTheme="minorHAnsi" w:hAnsiTheme="minorHAnsi"/>
                <w:sz w:val="23"/>
                <w:szCs w:val="23"/>
              </w:rPr>
              <w:t xml:space="preserve">That Council award the contract for </w:t>
            </w:r>
            <w:r>
              <w:rPr>
                <w:rFonts w:asciiTheme="minorHAnsi" w:hAnsiTheme="minorHAnsi"/>
                <w:sz w:val="23"/>
                <w:szCs w:val="23"/>
              </w:rPr>
              <w:t>Type “A”, “B” and “D” of the 2021 Gravel Road Stabilization program to PME Inc. at a contract</w:t>
            </w:r>
            <w:r w:rsidRPr="000E13B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6032A">
              <w:rPr>
                <w:rFonts w:asciiTheme="minorHAnsi" w:hAnsiTheme="minorHAnsi"/>
                <w:sz w:val="23"/>
                <w:szCs w:val="23"/>
              </w:rPr>
              <w:t xml:space="preserve">price </w:t>
            </w:r>
            <w:r w:rsidRPr="00586B7C">
              <w:rPr>
                <w:rFonts w:asciiTheme="minorHAnsi" w:hAnsiTheme="minorHAnsi"/>
                <w:sz w:val="23"/>
                <w:szCs w:val="23"/>
              </w:rPr>
              <w:t>of $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1,800,575.04 </w:t>
            </w:r>
            <w:r w:rsidRPr="000E13B1">
              <w:rPr>
                <w:rFonts w:asciiTheme="minorHAnsi" w:hAnsiTheme="minorHAnsi"/>
                <w:sz w:val="23"/>
                <w:szCs w:val="23"/>
              </w:rPr>
              <w:t>(excluding GST) and authorize the Chief Administrative Officer to execute the contract.</w:t>
            </w:r>
          </w:p>
          <w:p w14:paraId="455A2F66" w14:textId="77777777" w:rsidR="00CB17B5" w:rsidRPr="00F5152F" w:rsidRDefault="00CB17B5" w:rsidP="005254BB">
            <w:pPr>
              <w:pStyle w:val="BodyText"/>
              <w:tabs>
                <w:tab w:val="right" w:pos="5016"/>
                <w:tab w:val="left" w:pos="6583"/>
              </w:tabs>
              <w:spacing w:after="0" w:line="240" w:lineRule="auto"/>
              <w:ind w:left="357" w:right="500"/>
              <w:rPr>
                <w:rFonts w:asciiTheme="minorHAnsi" w:hAnsiTheme="minorHAnsi" w:cs="Arial"/>
                <w:sz w:val="23"/>
                <w:szCs w:val="23"/>
              </w:rPr>
            </w:pPr>
          </w:p>
          <w:p w14:paraId="0DA18070" w14:textId="403D6D3C" w:rsidR="00FA228B" w:rsidRPr="00F5152F" w:rsidRDefault="00F5152F" w:rsidP="005254BB">
            <w:pPr>
              <w:pStyle w:val="BodyText"/>
              <w:numPr>
                <w:ilvl w:val="0"/>
                <w:numId w:val="18"/>
              </w:numPr>
              <w:tabs>
                <w:tab w:val="right" w:pos="5016"/>
              </w:tabs>
              <w:spacing w:after="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F5152F">
              <w:rPr>
                <w:rFonts w:asciiTheme="minorHAnsi" w:hAnsiTheme="minorHAnsi"/>
                <w:sz w:val="23"/>
                <w:szCs w:val="23"/>
              </w:rPr>
              <w:t>That Council award the contract for Type “C” of the 2021 Gravel Road Stabilization program to Doblanko Contracting Ltd. at a contract price of $52,320 (excluding GST) and authorize the Chief Administrative Officer to execute the contract.</w:t>
            </w:r>
          </w:p>
        </w:tc>
      </w:tr>
      <w:tr w:rsidR="00546220" w:rsidRPr="00995A98" w14:paraId="6F333AD0" w14:textId="77777777" w:rsidTr="00FF4F7D">
        <w:tc>
          <w:tcPr>
            <w:tcW w:w="1915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F4F7D">
        <w:tc>
          <w:tcPr>
            <w:tcW w:w="1915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299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0601A7CB" w:rsidR="00D237DC" w:rsidRPr="00F5152F" w:rsidRDefault="00F5152F" w:rsidP="005254BB">
            <w:pPr>
              <w:tabs>
                <w:tab w:val="left" w:pos="3240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FA11D2">
              <w:rPr>
                <w:rFonts w:asciiTheme="minorHAnsi" w:hAnsiTheme="minorHAnsi"/>
                <w:sz w:val="23"/>
                <w:szCs w:val="23"/>
              </w:rPr>
              <w:t>Administration recommends that Council award the contract for Type “A”, “B”, and “D” of the 2021 Gravel Road Stabilization program to PME Inc</w:t>
            </w:r>
            <w:r w:rsidR="00C16326">
              <w:rPr>
                <w:rFonts w:asciiTheme="minorHAnsi" w:hAnsiTheme="minorHAnsi"/>
                <w:sz w:val="23"/>
                <w:szCs w:val="23"/>
              </w:rPr>
              <w:t>.</w:t>
            </w:r>
            <w:r w:rsidRPr="00FA11D2">
              <w:rPr>
                <w:rFonts w:asciiTheme="minorHAnsi" w:hAnsiTheme="minorHAnsi"/>
                <w:sz w:val="23"/>
                <w:szCs w:val="23"/>
              </w:rPr>
              <w:t xml:space="preserve"> as the lowest compliant bidder</w:t>
            </w:r>
            <w:r w:rsidR="00376141">
              <w:rPr>
                <w:rFonts w:asciiTheme="minorHAnsi" w:hAnsiTheme="minorHAnsi"/>
                <w:sz w:val="23"/>
                <w:szCs w:val="23"/>
              </w:rPr>
              <w:t>,</w:t>
            </w:r>
            <w:r w:rsidR="00CB17B5">
              <w:rPr>
                <w:rFonts w:asciiTheme="minorHAnsi" w:hAnsiTheme="minorHAnsi"/>
                <w:sz w:val="23"/>
                <w:szCs w:val="23"/>
              </w:rPr>
              <w:t xml:space="preserve"> and</w:t>
            </w:r>
            <w:r w:rsidR="00376141">
              <w:rPr>
                <w:rFonts w:asciiTheme="minorHAnsi" w:hAnsiTheme="minorHAnsi"/>
                <w:sz w:val="23"/>
                <w:szCs w:val="23"/>
              </w:rPr>
              <w:t xml:space="preserve"> that Council</w:t>
            </w:r>
            <w:r w:rsidR="00CB17B5">
              <w:rPr>
                <w:rFonts w:asciiTheme="minorHAnsi" w:hAnsiTheme="minorHAnsi"/>
                <w:sz w:val="23"/>
                <w:szCs w:val="23"/>
              </w:rPr>
              <w:t xml:space="preserve"> award the contract </w:t>
            </w:r>
            <w:r w:rsidRPr="00F5152F">
              <w:rPr>
                <w:rFonts w:asciiTheme="minorHAnsi" w:hAnsiTheme="minorHAnsi"/>
                <w:sz w:val="23"/>
                <w:szCs w:val="23"/>
              </w:rPr>
              <w:t>for Type “C” of the 2021 Gravel Road Stabilization program to Doblanko Contracting Ltd. as the lowest compliant bidder.</w:t>
            </w:r>
          </w:p>
        </w:tc>
      </w:tr>
      <w:tr w:rsidR="00995A98" w:rsidRPr="00995A98" w14:paraId="6FB7CCF7" w14:textId="77777777" w:rsidTr="00FF4F7D">
        <w:tc>
          <w:tcPr>
            <w:tcW w:w="1915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5254BB">
            <w:pPr>
              <w:tabs>
                <w:tab w:val="left" w:pos="3240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FF4F7D">
        <w:tc>
          <w:tcPr>
            <w:tcW w:w="1915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299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B0BE689" w14:textId="3BEF789D" w:rsidR="00F5152F" w:rsidRPr="000D673A" w:rsidRDefault="00F5152F" w:rsidP="005254BB">
            <w:pPr>
              <w:tabs>
                <w:tab w:val="left" w:pos="3240"/>
                <w:tab w:val="left" w:pos="6583"/>
              </w:tabs>
              <w:spacing w:after="60"/>
              <w:ind w:right="499"/>
              <w:rPr>
                <w:rFonts w:asciiTheme="minorHAnsi" w:hAnsiTheme="minorHAnsi"/>
                <w:sz w:val="23"/>
                <w:szCs w:val="23"/>
              </w:rPr>
            </w:pPr>
            <w:r w:rsidRPr="00CB17B5">
              <w:rPr>
                <w:rFonts w:asciiTheme="minorHAnsi" w:hAnsiTheme="minorHAnsi"/>
                <w:sz w:val="23"/>
                <w:szCs w:val="23"/>
                <w:u w:val="single"/>
              </w:rPr>
              <w:t>December 8, 2020</w:t>
            </w:r>
            <w:r w:rsidR="00110343" w:rsidRPr="00CB17B5">
              <w:rPr>
                <w:rFonts w:asciiTheme="minorHAnsi" w:hAnsiTheme="minorHAnsi"/>
                <w:sz w:val="23"/>
                <w:szCs w:val="23"/>
                <w:u w:val="single"/>
              </w:rPr>
              <w:t xml:space="preserve"> Regular Council Meeting</w:t>
            </w:r>
          </w:p>
          <w:p w14:paraId="61BE5515" w14:textId="5E299173" w:rsidR="00FF23A3" w:rsidRPr="00995A98" w:rsidRDefault="00F5152F" w:rsidP="005254BB">
            <w:pPr>
              <w:tabs>
                <w:tab w:val="left" w:pos="3240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0D673A">
              <w:rPr>
                <w:rFonts w:asciiTheme="minorHAnsi" w:hAnsiTheme="minorHAnsi"/>
                <w:sz w:val="23"/>
                <w:szCs w:val="23"/>
              </w:rPr>
              <w:t>Motion 579/20: That Council approve the 2021 Operating and Capital Budget as amended by motions passed on November 27, 2020 and represented by a 0% tax rate increase with $8,932,886 Significant Tax Revenue Growth allocated to the policy priority reserves for Council</w:t>
            </w:r>
            <w:r w:rsidR="00CB17B5">
              <w:rPr>
                <w:rFonts w:asciiTheme="minorHAnsi" w:hAnsiTheme="minorHAnsi"/>
                <w:sz w:val="23"/>
                <w:szCs w:val="23"/>
              </w:rPr>
              <w:t>’s</w:t>
            </w:r>
            <w:r w:rsidRPr="000D673A">
              <w:rPr>
                <w:rFonts w:asciiTheme="minorHAnsi" w:hAnsiTheme="minorHAnsi"/>
                <w:sz w:val="23"/>
                <w:szCs w:val="23"/>
              </w:rPr>
              <w:t xml:space="preserve"> consideration in early 2021.</w:t>
            </w:r>
          </w:p>
        </w:tc>
      </w:tr>
      <w:tr w:rsidR="00546220" w:rsidRPr="00995A98" w14:paraId="6FB75374" w14:textId="77777777" w:rsidTr="00FF4F7D">
        <w:tc>
          <w:tcPr>
            <w:tcW w:w="1915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5254BB">
            <w:pPr>
              <w:tabs>
                <w:tab w:val="left" w:pos="3240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FF4F7D">
        <w:tc>
          <w:tcPr>
            <w:tcW w:w="1915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299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D064AB1" w14:textId="77777777" w:rsidR="00F5152F" w:rsidRDefault="00F5152F" w:rsidP="005254BB">
            <w:pPr>
              <w:tabs>
                <w:tab w:val="left" w:pos="3240"/>
                <w:tab w:val="left" w:pos="6583"/>
              </w:tabs>
              <w:spacing w:after="60"/>
              <w:ind w:right="499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556C46A2" w14:textId="22F9A028" w:rsidR="00F5152F" w:rsidRDefault="00F5152F" w:rsidP="005254BB">
            <w:pPr>
              <w:pStyle w:val="BodyText"/>
              <w:tabs>
                <w:tab w:val="left" w:pos="6583"/>
              </w:tabs>
              <w:spacing w:after="24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  <w:r w:rsidRPr="00C546A7">
              <w:rPr>
                <w:rFonts w:asciiTheme="minorHAnsi" w:hAnsiTheme="minorHAnsi" w:cs="Arial"/>
                <w:sz w:val="23"/>
                <w:szCs w:val="23"/>
              </w:rPr>
              <w:t xml:space="preserve">The 2021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Gravel Road Stabilization program </w:t>
            </w:r>
            <w:r w:rsidR="00376141">
              <w:rPr>
                <w:rFonts w:asciiTheme="minorHAnsi" w:hAnsiTheme="minorHAnsi" w:cs="Arial"/>
                <w:sz w:val="23"/>
                <w:szCs w:val="23"/>
              </w:rPr>
              <w:t>is comprised</w:t>
            </w:r>
            <w:r w:rsidRPr="00C546A7">
              <w:rPr>
                <w:rFonts w:asciiTheme="minorHAnsi" w:hAnsiTheme="minorHAnsi" w:cs="Arial"/>
                <w:sz w:val="23"/>
                <w:szCs w:val="23"/>
              </w:rPr>
              <w:t xml:space="preserve"> of the following projects:</w:t>
            </w:r>
          </w:p>
          <w:p w14:paraId="35DEA8FE" w14:textId="77777777" w:rsidR="00F5152F" w:rsidRDefault="00F5152F" w:rsidP="00FF4F7D">
            <w:pPr>
              <w:pStyle w:val="BodyText"/>
              <w:spacing w:after="120" w:line="240" w:lineRule="auto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5B6E7F">
              <w:rPr>
                <w:rFonts w:asciiTheme="minorHAnsi" w:hAnsiTheme="minorHAnsi" w:cs="Arial"/>
                <w:noProof/>
                <w:sz w:val="23"/>
                <w:szCs w:val="23"/>
              </w:rPr>
              <w:drawing>
                <wp:inline distT="0" distB="0" distL="0" distR="0" wp14:anchorId="0E857279" wp14:editId="19ECFF9A">
                  <wp:extent cx="4554187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664" cy="12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5E094" w14:textId="12CABE76" w:rsidR="00F5152F" w:rsidRDefault="00F5152F" w:rsidP="005254BB">
            <w:pPr>
              <w:pStyle w:val="BodyText"/>
              <w:tabs>
                <w:tab w:val="left" w:pos="6583"/>
              </w:tabs>
              <w:spacing w:after="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</w:p>
          <w:p w14:paraId="06F978AE" w14:textId="2B976D73" w:rsidR="005B083A" w:rsidRDefault="005B083A" w:rsidP="005254BB">
            <w:pPr>
              <w:pStyle w:val="BodyText"/>
              <w:tabs>
                <w:tab w:val="left" w:pos="6583"/>
              </w:tabs>
              <w:spacing w:after="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</w:p>
          <w:p w14:paraId="00E62E4C" w14:textId="0C83D1CE" w:rsidR="005B083A" w:rsidRDefault="005B083A" w:rsidP="005254BB">
            <w:pPr>
              <w:pStyle w:val="BodyText"/>
              <w:tabs>
                <w:tab w:val="left" w:pos="6583"/>
              </w:tabs>
              <w:spacing w:after="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</w:p>
          <w:p w14:paraId="38147A71" w14:textId="77777777" w:rsidR="005B083A" w:rsidRDefault="005B083A" w:rsidP="005254BB">
            <w:pPr>
              <w:pStyle w:val="BodyText"/>
              <w:tabs>
                <w:tab w:val="left" w:pos="6583"/>
              </w:tabs>
              <w:spacing w:after="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</w:p>
          <w:p w14:paraId="77D0544C" w14:textId="198AC645" w:rsidR="00F5152F" w:rsidRDefault="00F5152F" w:rsidP="005254BB">
            <w:pPr>
              <w:pStyle w:val="BodyText"/>
              <w:spacing w:after="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  <w:r w:rsidRPr="005B6E7F">
              <w:rPr>
                <w:rFonts w:asciiTheme="minorHAnsi" w:hAnsiTheme="minorHAnsi" w:cs="Arial"/>
                <w:noProof/>
                <w:sz w:val="23"/>
                <w:szCs w:val="23"/>
              </w:rPr>
              <w:drawing>
                <wp:inline distT="0" distB="0" distL="0" distR="0" wp14:anchorId="1F135F84" wp14:editId="0CA85FBC">
                  <wp:extent cx="4528541" cy="212416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952" cy="213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5026E" w14:textId="77777777" w:rsidR="005B083A" w:rsidRDefault="005B083A" w:rsidP="005254BB">
            <w:pPr>
              <w:pStyle w:val="BodyText"/>
              <w:tabs>
                <w:tab w:val="left" w:pos="6583"/>
              </w:tabs>
              <w:spacing w:after="0" w:line="240" w:lineRule="auto"/>
              <w:ind w:right="499"/>
              <w:rPr>
                <w:rFonts w:asciiTheme="minorHAnsi" w:hAnsiTheme="minorHAnsi" w:cs="Arial"/>
                <w:sz w:val="23"/>
                <w:szCs w:val="23"/>
              </w:rPr>
            </w:pPr>
          </w:p>
          <w:p w14:paraId="46E0BDCC" w14:textId="66C3978D" w:rsidR="00F06FBD" w:rsidRDefault="00F5152F" w:rsidP="005254BB">
            <w:pPr>
              <w:pStyle w:val="BodyText"/>
              <w:tabs>
                <w:tab w:val="left" w:pos="6583"/>
              </w:tabs>
              <w:spacing w:after="0" w:line="240" w:lineRule="auto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747949">
              <w:rPr>
                <w:rFonts w:asciiTheme="minorHAnsi" w:hAnsiTheme="minorHAnsi" w:cs="Arial"/>
                <w:noProof/>
                <w:sz w:val="23"/>
                <w:szCs w:val="23"/>
              </w:rPr>
              <w:drawing>
                <wp:inline distT="0" distB="0" distL="0" distR="0" wp14:anchorId="617DFA57" wp14:editId="3E15F915">
                  <wp:extent cx="4507706" cy="3177119"/>
                  <wp:effectExtent l="0" t="0" r="762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932" cy="318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12E80" w14:textId="77777777" w:rsidR="00F5152F" w:rsidRDefault="00F5152F" w:rsidP="005254BB">
            <w:pPr>
              <w:tabs>
                <w:tab w:val="left" w:pos="3240"/>
                <w:tab w:val="left" w:pos="6583"/>
              </w:tabs>
              <w:spacing w:after="60"/>
              <w:ind w:right="499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  <w:u w:val="single"/>
              </w:rPr>
              <w:t xml:space="preserve">External </w:t>
            </w:r>
            <w:r w:rsidRPr="00F044C1">
              <w:rPr>
                <w:rFonts w:asciiTheme="minorHAnsi" w:hAnsiTheme="minorHAnsi"/>
                <w:sz w:val="23"/>
                <w:szCs w:val="23"/>
                <w:u w:val="single"/>
              </w:rPr>
              <w:t>Communication</w:t>
            </w:r>
          </w:p>
          <w:p w14:paraId="6271C588" w14:textId="77777777" w:rsidR="00F5152F" w:rsidRDefault="00F5152F" w:rsidP="005254BB">
            <w:pPr>
              <w:pStyle w:val="BodyText"/>
              <w:keepNext/>
              <w:tabs>
                <w:tab w:val="left" w:pos="6583"/>
              </w:tabs>
              <w:spacing w:after="120" w:line="240" w:lineRule="auto"/>
              <w:ind w:right="50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Tendering</w:t>
            </w:r>
          </w:p>
          <w:p w14:paraId="41B3D4DD" w14:textId="6D68D7C3" w:rsidR="00F5152F" w:rsidRDefault="00F5152F" w:rsidP="00FF4F7D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</w:tabs>
              <w:spacing w:after="120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construction Request </w:t>
            </w:r>
            <w:r w:rsidR="00110343">
              <w:rPr>
                <w:rFonts w:asciiTheme="minorHAnsi" w:hAnsiTheme="minorHAnsi" w:cs="Arial"/>
                <w:sz w:val="23"/>
                <w:szCs w:val="23"/>
              </w:rPr>
              <w:t>f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or Tender (RFT) for the 2021 Gravel Road Stabilization Program was posted on Alberta Purchasing Connection (APC) </w:t>
            </w:r>
            <w:r w:rsidR="00376141">
              <w:rPr>
                <w:rFonts w:asciiTheme="minorHAnsi" w:hAnsiTheme="minorHAnsi" w:cs="Arial"/>
                <w:sz w:val="23"/>
                <w:szCs w:val="23"/>
              </w:rPr>
              <w:t xml:space="preserve">on </w:t>
            </w:r>
            <w:r w:rsidRPr="0090147B">
              <w:rPr>
                <w:rFonts w:asciiTheme="minorHAnsi" w:hAnsiTheme="minorHAnsi" w:cs="Arial"/>
                <w:sz w:val="23"/>
                <w:szCs w:val="23"/>
              </w:rPr>
              <w:t>April 26, 2021</w:t>
            </w:r>
            <w:r w:rsidR="00CB17B5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90147B">
              <w:rPr>
                <w:rFonts w:asciiTheme="minorHAnsi" w:hAnsiTheme="minorHAnsi" w:cs="Arial"/>
                <w:sz w:val="23"/>
                <w:szCs w:val="23"/>
              </w:rPr>
              <w:t xml:space="preserve"> with a closing date of May 19, 2021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2AF9EFB0" w14:textId="65B0E65E" w:rsidR="00F5152F" w:rsidRDefault="00F5152F" w:rsidP="00FF4F7D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</w:tabs>
              <w:spacing w:after="120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C16326">
              <w:rPr>
                <w:rFonts w:asciiTheme="minorHAnsi" w:hAnsiTheme="minorHAnsi"/>
                <w:sz w:val="23"/>
                <w:szCs w:val="23"/>
              </w:rPr>
              <w:t>Three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(3) </w:t>
            </w:r>
            <w:r w:rsidR="00110343">
              <w:rPr>
                <w:rFonts w:asciiTheme="minorHAnsi" w:hAnsiTheme="minorHAnsi" w:cs="Arial"/>
                <w:sz w:val="23"/>
                <w:szCs w:val="23"/>
              </w:rPr>
              <w:t xml:space="preserve">bids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were received for the </w:t>
            </w:r>
            <w:r w:rsidR="005B083A">
              <w:rPr>
                <w:rFonts w:asciiTheme="minorHAnsi" w:hAnsiTheme="minorHAnsi" w:cs="Arial"/>
                <w:sz w:val="23"/>
                <w:szCs w:val="23"/>
              </w:rPr>
              <w:t>four (</w:t>
            </w:r>
            <w:r>
              <w:rPr>
                <w:rFonts w:asciiTheme="minorHAnsi" w:hAnsiTheme="minorHAnsi" w:cs="Arial"/>
                <w:sz w:val="23"/>
                <w:szCs w:val="23"/>
              </w:rPr>
              <w:t>4</w:t>
            </w:r>
            <w:r w:rsidR="005B083A">
              <w:rPr>
                <w:rFonts w:asciiTheme="minorHAnsi" w:hAnsiTheme="minorHAnsi" w:cs="Arial"/>
                <w:sz w:val="23"/>
                <w:szCs w:val="23"/>
              </w:rPr>
              <w:t>)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categories of work tendered</w:t>
            </w:r>
          </w:p>
          <w:tbl>
            <w:tblPr>
              <w:tblW w:w="72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1825"/>
              <w:gridCol w:w="1856"/>
              <w:gridCol w:w="1723"/>
            </w:tblGrid>
            <w:tr w:rsidR="00F5152F" w:rsidRPr="00523D50" w14:paraId="47627C29" w14:textId="77777777" w:rsidTr="00523D50">
              <w:trPr>
                <w:trHeight w:val="300"/>
                <w:jc w:val="center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CFEC4" w14:textId="77777777" w:rsidR="00F5152F" w:rsidRPr="00523D50" w:rsidRDefault="00F5152F" w:rsidP="00523D50">
                  <w:pPr>
                    <w:tabs>
                      <w:tab w:val="left" w:pos="6583"/>
                    </w:tabs>
                    <w:ind w:right="16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TYPE “A”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7826" w14:textId="77777777" w:rsidR="00F5152F" w:rsidRPr="00523D50" w:rsidRDefault="00F5152F" w:rsidP="00523D50">
                  <w:pPr>
                    <w:tabs>
                      <w:tab w:val="left" w:pos="6583"/>
                    </w:tabs>
                    <w:ind w:right="3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TYPE “B”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C2691" w14:textId="77777777" w:rsidR="00F5152F" w:rsidRPr="00523D50" w:rsidRDefault="00F5152F" w:rsidP="005254BB">
                  <w:pPr>
                    <w:tabs>
                      <w:tab w:val="left" w:pos="6583"/>
                    </w:tabs>
                    <w:ind w:right="50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TYPE “C”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05D93" w14:textId="77777777" w:rsidR="00F5152F" w:rsidRPr="00523D50" w:rsidRDefault="00F5152F" w:rsidP="00523D50">
                  <w:pPr>
                    <w:tabs>
                      <w:tab w:val="left" w:pos="6583"/>
                    </w:tabs>
                    <w:ind w:right="16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TYPE “D”</w:t>
                  </w:r>
                </w:p>
              </w:tc>
            </w:tr>
            <w:tr w:rsidR="00F5152F" w:rsidRPr="00523D50" w14:paraId="6F325CF1" w14:textId="77777777" w:rsidTr="00523D50">
              <w:trPr>
                <w:trHeight w:val="690"/>
                <w:jc w:val="center"/>
              </w:trPr>
              <w:tc>
                <w:tcPr>
                  <w:tcW w:w="1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20DBC" w14:textId="77777777" w:rsidR="00F5152F" w:rsidRPr="00523D50" w:rsidRDefault="00F5152F" w:rsidP="00523D50">
                  <w:pPr>
                    <w:tabs>
                      <w:tab w:val="left" w:pos="6583"/>
                    </w:tabs>
                    <w:ind w:right="16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$544,607.40 - $770,637.00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159ACD" w14:textId="77777777" w:rsidR="00F5152F" w:rsidRPr="00523D50" w:rsidRDefault="00F5152F" w:rsidP="00523D50">
                  <w:pPr>
                    <w:tabs>
                      <w:tab w:val="left" w:pos="6583"/>
                    </w:tabs>
                    <w:ind w:right="3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$1,079,900.99 - $1,150,138.85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0521D" w14:textId="191360ED" w:rsidR="00F5152F" w:rsidRPr="00523D50" w:rsidRDefault="00F5152F" w:rsidP="00523D50">
                  <w:pPr>
                    <w:tabs>
                      <w:tab w:val="left" w:pos="6583"/>
                    </w:tabs>
                    <w:ind w:right="1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$52,320.00 - $104,800.00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AD961" w14:textId="77777777" w:rsidR="00F5152F" w:rsidRPr="00523D50" w:rsidRDefault="00F5152F" w:rsidP="00523D50">
                  <w:pPr>
                    <w:tabs>
                      <w:tab w:val="left" w:pos="6583"/>
                    </w:tabs>
                    <w:ind w:right="16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</w:pPr>
                  <w:r w:rsidRPr="00523D50">
                    <w:rPr>
                      <w:rFonts w:asciiTheme="minorHAnsi" w:hAnsiTheme="minorHAnsi" w:cstheme="minorHAnsi"/>
                      <w:sz w:val="23"/>
                      <w:szCs w:val="23"/>
                      <w:lang w:val="en-CA" w:eastAsia="en-CA"/>
                    </w:rPr>
                    <w:t>$176,066.65 - $253,523.75</w:t>
                  </w:r>
                </w:p>
              </w:tc>
            </w:tr>
          </w:tbl>
          <w:p w14:paraId="34BA55D8" w14:textId="77777777" w:rsidR="00523D50" w:rsidRDefault="00523D50" w:rsidP="00523D50">
            <w:pPr>
              <w:pStyle w:val="BodyText"/>
              <w:tabs>
                <w:tab w:val="left" w:pos="6583"/>
              </w:tabs>
              <w:spacing w:after="0" w:line="240" w:lineRule="auto"/>
              <w:ind w:right="499"/>
              <w:rPr>
                <w:rFonts w:asciiTheme="minorHAnsi" w:hAnsiTheme="minorHAnsi"/>
                <w:sz w:val="23"/>
                <w:szCs w:val="23"/>
              </w:rPr>
            </w:pPr>
          </w:p>
          <w:p w14:paraId="47E218B5" w14:textId="266709E1" w:rsidR="00110343" w:rsidRDefault="00F5152F" w:rsidP="005254BB">
            <w:pPr>
              <w:pStyle w:val="BodyText"/>
              <w:tabs>
                <w:tab w:val="left" w:pos="6583"/>
              </w:tabs>
              <w:spacing w:after="120" w:line="240" w:lineRule="auto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C16326">
              <w:rPr>
                <w:rFonts w:asciiTheme="minorHAnsi" w:hAnsiTheme="minorHAnsi"/>
                <w:sz w:val="23"/>
                <w:szCs w:val="23"/>
              </w:rPr>
              <w:t>The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5B083A">
              <w:rPr>
                <w:rFonts w:asciiTheme="minorHAnsi" w:hAnsiTheme="minorHAnsi"/>
                <w:sz w:val="23"/>
                <w:szCs w:val="23"/>
              </w:rPr>
              <w:t>received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 xml:space="preserve"> tenders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were reviewed, 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it is 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>recommend</w:t>
            </w:r>
            <w:r>
              <w:rPr>
                <w:rFonts w:asciiTheme="minorHAnsi" w:hAnsiTheme="minorHAnsi" w:cs="Arial"/>
                <w:sz w:val="23"/>
                <w:szCs w:val="23"/>
              </w:rPr>
              <w:t>ed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 xml:space="preserve"> that Sturgeon County award the 2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021 Gravel Road Stabilization 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>contract for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category Types “A”, “B”, and “D”</w:t>
            </w:r>
            <w:r w:rsidRPr="00BB42E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to PME Inc., and </w:t>
            </w:r>
            <w:r w:rsidR="00110343">
              <w:rPr>
                <w:rFonts w:asciiTheme="minorHAnsi" w:hAnsiTheme="minorHAnsi" w:cs="Arial"/>
                <w:sz w:val="23"/>
                <w:szCs w:val="23"/>
              </w:rPr>
              <w:t xml:space="preserve">for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category </w:t>
            </w:r>
            <w:r>
              <w:rPr>
                <w:rFonts w:asciiTheme="minorHAnsi" w:hAnsiTheme="minorHAnsi" w:cs="Arial"/>
                <w:sz w:val="23"/>
                <w:szCs w:val="23"/>
              </w:rPr>
              <w:lastRenderedPageBreak/>
              <w:t xml:space="preserve">Type “C” </w:t>
            </w:r>
            <w:r w:rsidR="00110343">
              <w:rPr>
                <w:rFonts w:asciiTheme="minorHAnsi" w:hAnsiTheme="minorHAnsi" w:cs="Arial"/>
                <w:sz w:val="23"/>
                <w:szCs w:val="23"/>
              </w:rPr>
              <w:t>to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Doblanko Contracting Ltd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 w:cs="Arial"/>
                <w:sz w:val="23"/>
                <w:szCs w:val="23"/>
              </w:rPr>
              <w:t>as they were the lowest compliant bidders in respective categories.</w:t>
            </w:r>
          </w:p>
          <w:p w14:paraId="01D98596" w14:textId="77777777" w:rsidR="00F5152F" w:rsidRDefault="00F5152F" w:rsidP="005254BB">
            <w:pPr>
              <w:pStyle w:val="BodyText"/>
              <w:tabs>
                <w:tab w:val="left" w:pos="6583"/>
              </w:tabs>
              <w:spacing w:after="60" w:line="240" w:lineRule="auto"/>
              <w:ind w:right="499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Communications</w:t>
            </w:r>
          </w:p>
          <w:p w14:paraId="13CCC4DB" w14:textId="77777777" w:rsidR="00523D50" w:rsidRDefault="00523D50" w:rsidP="00523D50">
            <w:pPr>
              <w:pStyle w:val="BodyText"/>
              <w:numPr>
                <w:ilvl w:val="0"/>
                <w:numId w:val="2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Following the contract award and prior to commencement of construction:</w:t>
            </w:r>
          </w:p>
          <w:p w14:paraId="31A8BA89" w14:textId="77777777" w:rsidR="00523D50" w:rsidRDefault="00523D50" w:rsidP="00523D50">
            <w:pPr>
              <w:pStyle w:val="BodyText"/>
              <w:numPr>
                <w:ilvl w:val="1"/>
                <w:numId w:val="26"/>
              </w:numPr>
              <w:spacing w:after="120" w:line="240" w:lineRule="auto"/>
              <w:ind w:left="784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Notifications will be mailed to all affected residents.</w:t>
            </w:r>
          </w:p>
          <w:p w14:paraId="3108DD5B" w14:textId="77777777" w:rsidR="00523D50" w:rsidRDefault="00523D50" w:rsidP="00523D50">
            <w:pPr>
              <w:pStyle w:val="BodyText"/>
              <w:numPr>
                <w:ilvl w:val="1"/>
                <w:numId w:val="26"/>
              </w:numPr>
              <w:spacing w:after="120" w:line="240" w:lineRule="auto"/>
              <w:ind w:left="784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Construction information signs will be installed.</w:t>
            </w:r>
          </w:p>
          <w:p w14:paraId="3C20BFC1" w14:textId="77777777" w:rsidR="00523D50" w:rsidRDefault="00523D50" w:rsidP="00523D50">
            <w:pPr>
              <w:pStyle w:val="BodyText"/>
              <w:numPr>
                <w:ilvl w:val="1"/>
                <w:numId w:val="26"/>
              </w:numPr>
              <w:spacing w:after="240" w:line="240" w:lineRule="auto"/>
              <w:ind w:left="782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 construction open house will be held.</w:t>
            </w:r>
          </w:p>
          <w:p w14:paraId="62C10971" w14:textId="77777777" w:rsidR="00F5152F" w:rsidRPr="00995A98" w:rsidRDefault="00F5152F" w:rsidP="005254BB">
            <w:pPr>
              <w:tabs>
                <w:tab w:val="left" w:pos="3240"/>
                <w:tab w:val="left" w:pos="6583"/>
              </w:tabs>
              <w:spacing w:after="60"/>
              <w:ind w:right="499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22941CBA" w14:textId="12E9BA83" w:rsidR="00F5152F" w:rsidRPr="00523D50" w:rsidRDefault="00F5152F" w:rsidP="005254BB">
            <w:pPr>
              <w:pStyle w:val="BodyText"/>
              <w:tabs>
                <w:tab w:val="left" w:pos="6583"/>
              </w:tabs>
              <w:spacing w:after="60" w:line="240" w:lineRule="auto"/>
              <w:ind w:right="499"/>
              <w:rPr>
                <w:rFonts w:asciiTheme="minorHAnsi" w:hAnsiTheme="minorHAnsi" w:cs="Arial"/>
                <w:bCs/>
                <w:sz w:val="23"/>
                <w:szCs w:val="23"/>
              </w:rPr>
            </w:pPr>
            <w:r w:rsidRPr="00523D50">
              <w:rPr>
                <w:rFonts w:asciiTheme="minorHAnsi" w:hAnsiTheme="minorHAnsi" w:cs="Arial"/>
                <w:bCs/>
                <w:sz w:val="23"/>
                <w:szCs w:val="23"/>
              </w:rPr>
              <w:t>Procurement Policy</w:t>
            </w:r>
          </w:p>
          <w:p w14:paraId="2DB614C0" w14:textId="6A5465F2" w:rsidR="00110343" w:rsidRPr="00C16326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6583"/>
              </w:tabs>
              <w:spacing w:after="120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C16326">
              <w:rPr>
                <w:rFonts w:asciiTheme="minorHAnsi" w:hAnsiTheme="minorHAnsi"/>
                <w:sz w:val="23"/>
                <w:szCs w:val="23"/>
              </w:rPr>
              <w:t>Invitation</w:t>
            </w:r>
            <w:r w:rsidRPr="00C16326">
              <w:rPr>
                <w:rFonts w:asciiTheme="minorHAnsi" w:hAnsiTheme="minorHAnsi" w:cs="Arial"/>
                <w:sz w:val="23"/>
                <w:szCs w:val="23"/>
              </w:rPr>
              <w:t xml:space="preserve"> to Tender is identified as the acceptable method of procurement for construction contracts and other high value procurements.</w:t>
            </w:r>
          </w:p>
          <w:p w14:paraId="5FA4F6EB" w14:textId="4D55B208" w:rsidR="00110343" w:rsidRPr="00C16326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6583"/>
              </w:tabs>
              <w:spacing w:after="120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C16326">
              <w:rPr>
                <w:rFonts w:asciiTheme="minorHAnsi" w:hAnsiTheme="minorHAnsi"/>
                <w:sz w:val="23"/>
                <w:szCs w:val="23"/>
              </w:rPr>
              <w:t>Sturgeon</w:t>
            </w:r>
            <w:r w:rsidRPr="00C16326">
              <w:rPr>
                <w:rFonts w:asciiTheme="minorHAnsi" w:hAnsiTheme="minorHAnsi" w:cs="Arial"/>
                <w:sz w:val="23"/>
                <w:szCs w:val="23"/>
              </w:rPr>
              <w:t xml:space="preserve"> County’s standard for communicating competitive Procurement opportunities is through the Alberta Purchasing Connection.</w:t>
            </w:r>
          </w:p>
          <w:p w14:paraId="40B9D89A" w14:textId="0DEC7ECB" w:rsidR="00892A3C" w:rsidRPr="00995A98" w:rsidRDefault="00110343" w:rsidP="00523D50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C16326">
              <w:rPr>
                <w:rFonts w:asciiTheme="minorHAnsi" w:hAnsiTheme="minorHAnsi"/>
                <w:sz w:val="23"/>
                <w:szCs w:val="23"/>
              </w:rPr>
              <w:t>T</w:t>
            </w:r>
            <w:r w:rsidR="00F5152F" w:rsidRPr="00C16326">
              <w:rPr>
                <w:rFonts w:asciiTheme="minorHAnsi" w:hAnsiTheme="minorHAnsi"/>
                <w:sz w:val="23"/>
                <w:szCs w:val="23"/>
              </w:rPr>
              <w:t>he</w:t>
            </w:r>
            <w:r w:rsidR="00F5152F" w:rsidRPr="00110343">
              <w:rPr>
                <w:rFonts w:asciiTheme="minorHAnsi" w:hAnsiTheme="minorHAnsi" w:cs="Arial"/>
                <w:sz w:val="23"/>
                <w:szCs w:val="23"/>
              </w:rPr>
              <w:t xml:space="preserve"> Chief </w:t>
            </w:r>
            <w:r w:rsidR="00F5152F" w:rsidRPr="00523D50">
              <w:rPr>
                <w:rFonts w:asciiTheme="minorHAnsi" w:hAnsiTheme="minorHAnsi"/>
                <w:sz w:val="23"/>
                <w:szCs w:val="23"/>
              </w:rPr>
              <w:t>Administrative</w:t>
            </w:r>
            <w:r w:rsidR="00F5152F" w:rsidRPr="00110343">
              <w:rPr>
                <w:rFonts w:asciiTheme="minorHAnsi" w:hAnsiTheme="minorHAnsi" w:cs="Arial"/>
                <w:sz w:val="23"/>
                <w:szCs w:val="23"/>
              </w:rPr>
              <w:t xml:space="preserve"> Officer is designated with approval authority for procurement $500,000 and in excess thereof.</w:t>
            </w:r>
          </w:p>
        </w:tc>
      </w:tr>
      <w:tr w:rsidR="00546220" w:rsidRPr="00995A98" w14:paraId="1EC672DA" w14:textId="77777777" w:rsidTr="00FF4F7D">
        <w:tc>
          <w:tcPr>
            <w:tcW w:w="1915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FF4F7D">
        <w:tc>
          <w:tcPr>
            <w:tcW w:w="1915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299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F1925A9" w14:textId="77777777" w:rsidR="00F5152F" w:rsidRPr="00995A98" w:rsidRDefault="00F5152F" w:rsidP="005254BB">
            <w:p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</w:p>
          <w:p w14:paraId="72C699CF" w14:textId="755CD65D" w:rsidR="00F5152F" w:rsidRPr="00BB42E0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523D5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Maintain </w:t>
            </w:r>
            <w:r w:rsidRPr="00BB42E0">
              <w:rPr>
                <w:rFonts w:asciiTheme="minorHAnsi" w:hAnsiTheme="minorHAnsi"/>
                <w:b/>
                <w:sz w:val="23"/>
                <w:szCs w:val="23"/>
              </w:rPr>
              <w:t xml:space="preserve">and Enhance Strong Communities 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>– The award of th</w:t>
            </w:r>
            <w:r>
              <w:rPr>
                <w:rFonts w:asciiTheme="minorHAnsi" w:hAnsiTheme="minorHAnsi"/>
                <w:sz w:val="23"/>
                <w:szCs w:val="23"/>
              </w:rPr>
              <w:t>e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>s</w:t>
            </w:r>
            <w:r>
              <w:rPr>
                <w:rFonts w:asciiTheme="minorHAnsi" w:hAnsiTheme="minorHAnsi"/>
                <w:sz w:val="23"/>
                <w:szCs w:val="23"/>
              </w:rPr>
              <w:t>e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 contract</w:t>
            </w:r>
            <w:r>
              <w:rPr>
                <w:rFonts w:asciiTheme="minorHAnsi" w:hAnsiTheme="minorHAnsi"/>
                <w:sz w:val="23"/>
                <w:szCs w:val="23"/>
              </w:rPr>
              <w:t>s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is 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consistent with </w:t>
            </w:r>
            <w:r w:rsidR="00376141">
              <w:rPr>
                <w:rFonts w:asciiTheme="minorHAnsi" w:hAnsiTheme="minorHAnsi"/>
                <w:sz w:val="23"/>
                <w:szCs w:val="23"/>
              </w:rPr>
              <w:t>G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oal 2.2 of the Strategic Plan: </w:t>
            </w:r>
            <w:r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>“Sturgeon County Residents have access to safe and reliable infrastructure assets”.</w:t>
            </w:r>
          </w:p>
          <w:p w14:paraId="48079D19" w14:textId="4AF35047" w:rsidR="00F5152F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523D50">
              <w:rPr>
                <w:rFonts w:asciiTheme="minorHAnsi" w:hAnsiTheme="minorHAnsi"/>
                <w:b/>
                <w:bCs/>
                <w:sz w:val="23"/>
                <w:szCs w:val="23"/>
              </w:rPr>
              <w:t>Strong L</w:t>
            </w:r>
            <w:r w:rsidRPr="00BB42E0">
              <w:rPr>
                <w:rFonts w:asciiTheme="minorHAnsi" w:hAnsiTheme="minorHAnsi"/>
                <w:b/>
                <w:sz w:val="23"/>
                <w:szCs w:val="23"/>
              </w:rPr>
              <w:t xml:space="preserve">ocal and Regional Governance 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>– The award of th</w:t>
            </w:r>
            <w:r>
              <w:rPr>
                <w:rFonts w:asciiTheme="minorHAnsi" w:hAnsiTheme="minorHAnsi"/>
                <w:sz w:val="23"/>
                <w:szCs w:val="23"/>
              </w:rPr>
              <w:t>ese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 contract</w:t>
            </w:r>
            <w:r>
              <w:rPr>
                <w:rFonts w:asciiTheme="minorHAnsi" w:hAnsiTheme="minorHAnsi"/>
                <w:sz w:val="23"/>
                <w:szCs w:val="23"/>
              </w:rPr>
              <w:t>s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is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 consistent with </w:t>
            </w:r>
            <w:r w:rsidR="00376141">
              <w:rPr>
                <w:rFonts w:asciiTheme="minorHAnsi" w:hAnsiTheme="minorHAnsi"/>
                <w:sz w:val="23"/>
                <w:szCs w:val="23"/>
              </w:rPr>
              <w:t>G</w:t>
            </w:r>
            <w:r w:rsidRPr="00BB42E0">
              <w:rPr>
                <w:rFonts w:asciiTheme="minorHAnsi" w:hAnsiTheme="minorHAnsi"/>
                <w:sz w:val="23"/>
                <w:szCs w:val="23"/>
              </w:rPr>
              <w:t xml:space="preserve">oal 3.2 of the Strategic Plan: </w:t>
            </w:r>
            <w:r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>“Sturgeon County is financially stable and fiscally sustainable”.</w:t>
            </w:r>
          </w:p>
          <w:p w14:paraId="6722AE82" w14:textId="77777777" w:rsidR="00F5152F" w:rsidRDefault="00F5152F" w:rsidP="005254BB">
            <w:p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2ADA68CE" w14:textId="6F1DD87D" w:rsidR="00F5152F" w:rsidRPr="00C16326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 w:rsidRPr="00C16326">
              <w:rPr>
                <w:rFonts w:asciiTheme="minorHAnsi" w:hAnsiTheme="minorHAnsi"/>
                <w:sz w:val="23"/>
                <w:szCs w:val="23"/>
              </w:rPr>
              <w:t>The</w:t>
            </w:r>
            <w:r w:rsidRPr="00C16326">
              <w:rPr>
                <w:rFonts w:asciiTheme="minorHAnsi" w:hAnsiTheme="minorHAnsi" w:cs="Arial"/>
                <w:sz w:val="23"/>
                <w:szCs w:val="23"/>
              </w:rPr>
              <w:t xml:space="preserve"> award of th</w:t>
            </w:r>
            <w:r w:rsidR="00376141">
              <w:rPr>
                <w:rFonts w:asciiTheme="minorHAnsi" w:hAnsiTheme="minorHAnsi" w:cs="Arial"/>
                <w:sz w:val="23"/>
                <w:szCs w:val="23"/>
              </w:rPr>
              <w:t xml:space="preserve">ese </w:t>
            </w:r>
            <w:r w:rsidRPr="00C16326">
              <w:rPr>
                <w:rFonts w:asciiTheme="minorHAnsi" w:hAnsiTheme="minorHAnsi" w:cs="Arial"/>
                <w:sz w:val="23"/>
                <w:szCs w:val="23"/>
              </w:rPr>
              <w:t>contract</w:t>
            </w:r>
            <w:r w:rsidR="00376141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Pr="00C16326">
              <w:rPr>
                <w:rFonts w:asciiTheme="minorHAnsi" w:hAnsiTheme="minorHAnsi" w:cs="Arial"/>
                <w:sz w:val="23"/>
                <w:szCs w:val="23"/>
              </w:rPr>
              <w:t xml:space="preserve"> will significantly reduce the maintenance requirements of these road segments and address ongoing traffic issues, thereby freeing up additional capacity to maintain Sturgeon County’s service commitment to operational excellence.</w:t>
            </w:r>
          </w:p>
          <w:p w14:paraId="17F36747" w14:textId="77777777" w:rsidR="00F5152F" w:rsidRPr="00995A98" w:rsidRDefault="00F5152F" w:rsidP="005254BB">
            <w:p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tbl>
            <w:tblPr>
              <w:tblW w:w="5918" w:type="dxa"/>
              <w:tblLayout w:type="fixed"/>
              <w:tblLook w:val="04A0" w:firstRow="1" w:lastRow="0" w:firstColumn="1" w:lastColumn="0" w:noHBand="0" w:noVBand="1"/>
            </w:tblPr>
            <w:tblGrid>
              <w:gridCol w:w="3650"/>
              <w:gridCol w:w="2268"/>
            </w:tblGrid>
            <w:tr w:rsidR="00F5152F" w:rsidRPr="000E5CC5" w14:paraId="56FEB264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  <w:hideMark/>
                </w:tcPr>
                <w:p w14:paraId="6FCDCA5C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Estimated Costs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44D914C5" w14:textId="77777777" w:rsidR="00F5152F" w:rsidRPr="000E5CC5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</w:pPr>
                </w:p>
              </w:tc>
            </w:tr>
            <w:tr w:rsidR="00F5152F" w:rsidRPr="000E5CC5" w14:paraId="1B265530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  <w:hideMark/>
                </w:tcPr>
                <w:p w14:paraId="040E8498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Type “A”</w:t>
                  </w:r>
                </w:p>
              </w:tc>
              <w:tc>
                <w:tcPr>
                  <w:tcW w:w="2268" w:type="dxa"/>
                  <w:vAlign w:val="bottom"/>
                </w:tcPr>
                <w:p w14:paraId="3C015BAA" w14:textId="77777777" w:rsidR="00F5152F" w:rsidRPr="000E5CC5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$544,607.40</w:t>
                  </w:r>
                </w:p>
              </w:tc>
            </w:tr>
            <w:tr w:rsidR="00F5152F" w:rsidRPr="000E5CC5" w14:paraId="7CB39C4A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  <w:hideMark/>
                </w:tcPr>
                <w:p w14:paraId="289ED068" w14:textId="22CA2AEE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 xml:space="preserve">Type </w:t>
                  </w:r>
                  <w:r w:rsidR="00523D50"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“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B”</w:t>
                  </w:r>
                </w:p>
              </w:tc>
              <w:tc>
                <w:tcPr>
                  <w:tcW w:w="2268" w:type="dxa"/>
                  <w:vAlign w:val="bottom"/>
                </w:tcPr>
                <w:p w14:paraId="6FADE192" w14:textId="78C0CDAA" w:rsidR="00F5152F" w:rsidRPr="00ED4579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$1</w:t>
                  </w:r>
                  <w:r w:rsidR="00376141"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079,900.99</w:t>
                  </w:r>
                </w:p>
              </w:tc>
            </w:tr>
            <w:tr w:rsidR="00F5152F" w:rsidRPr="003855D3" w14:paraId="06F2E74E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</w:tcPr>
                <w:p w14:paraId="117FC5A3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Type “C”</w:t>
                  </w:r>
                </w:p>
              </w:tc>
              <w:tc>
                <w:tcPr>
                  <w:tcW w:w="2268" w:type="dxa"/>
                  <w:vAlign w:val="bottom"/>
                </w:tcPr>
                <w:p w14:paraId="6DCDB057" w14:textId="77777777" w:rsidR="00F5152F" w:rsidRPr="003855D3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 w:rsidRPr="003855D3"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$52,320.00</w:t>
                  </w:r>
                </w:p>
              </w:tc>
            </w:tr>
            <w:tr w:rsidR="00F5152F" w:rsidRPr="00A21D7D" w14:paraId="37117290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</w:tcPr>
                <w:p w14:paraId="2FA04BD1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Type “D”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33895869" w14:textId="77777777" w:rsidR="00F5152F" w:rsidRPr="00A21D7D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$176,066.65</w:t>
                  </w:r>
                </w:p>
              </w:tc>
            </w:tr>
            <w:tr w:rsidR="00F5152F" w:rsidRPr="000E5CC5" w14:paraId="0955B462" w14:textId="77777777" w:rsidTr="005254BB">
              <w:trPr>
                <w:trHeight w:val="300"/>
              </w:trPr>
              <w:tc>
                <w:tcPr>
                  <w:tcW w:w="36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364BD8E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Total Funding Requirement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0B374F" w14:textId="78CDA879" w:rsidR="00F5152F" w:rsidRPr="00132807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  <w:lang w:val="en-CA" w:eastAsia="en-CA"/>
                    </w:rPr>
                  </w:pPr>
                  <w:r w:rsidRPr="00377A00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$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1,852,895.04</w:t>
                  </w:r>
                </w:p>
              </w:tc>
            </w:tr>
            <w:tr w:rsidR="00F5152F" w14:paraId="52C85D39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  <w:hideMark/>
                </w:tcPr>
                <w:p w14:paraId="5355867D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</w:p>
                <w:p w14:paraId="34AD1E4C" w14:textId="67072958" w:rsidR="00523D50" w:rsidRDefault="00523D50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</w:p>
                <w:p w14:paraId="18CA1194" w14:textId="77777777" w:rsidR="00376141" w:rsidRDefault="00376141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</w:p>
                <w:p w14:paraId="37F5CF8C" w14:textId="131556BC" w:rsidR="00523D50" w:rsidRDefault="00523D50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6C27ED52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</w:p>
              </w:tc>
            </w:tr>
            <w:tr w:rsidR="00F5152F" w14:paraId="5F604EE1" w14:textId="77777777" w:rsidTr="005254BB">
              <w:trPr>
                <w:trHeight w:val="315"/>
              </w:trPr>
              <w:tc>
                <w:tcPr>
                  <w:tcW w:w="3650" w:type="dxa"/>
                  <w:vAlign w:val="bottom"/>
                  <w:hideMark/>
                </w:tcPr>
                <w:p w14:paraId="6BAD260D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Budget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6C99B276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</w:p>
              </w:tc>
            </w:tr>
            <w:tr w:rsidR="00F5152F" w14:paraId="6836D744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</w:tcPr>
                <w:p w14:paraId="0CBEEAE1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LRP Stabilization / Selective Grading</w:t>
                  </w:r>
                </w:p>
              </w:tc>
              <w:tc>
                <w:tcPr>
                  <w:tcW w:w="2268" w:type="dxa"/>
                  <w:vAlign w:val="bottom"/>
                </w:tcPr>
                <w:p w14:paraId="134564C0" w14:textId="3E014B65" w:rsidR="00F5152F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$1,500,000.00</w:t>
                  </w:r>
                </w:p>
              </w:tc>
            </w:tr>
            <w:tr w:rsidR="00F5152F" w14:paraId="485488E7" w14:textId="77777777" w:rsidTr="005254BB">
              <w:trPr>
                <w:trHeight w:val="300"/>
              </w:trPr>
              <w:tc>
                <w:tcPr>
                  <w:tcW w:w="3650" w:type="dxa"/>
                  <w:vAlign w:val="bottom"/>
                </w:tcPr>
                <w:p w14:paraId="1AED2A6A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Gravel Road Stabilization (Operations)</w:t>
                  </w:r>
                </w:p>
              </w:tc>
              <w:tc>
                <w:tcPr>
                  <w:tcW w:w="2268" w:type="dxa"/>
                  <w:vAlign w:val="bottom"/>
                </w:tcPr>
                <w:p w14:paraId="1780EEC4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$576,000.00</w:t>
                  </w:r>
                </w:p>
              </w:tc>
            </w:tr>
            <w:tr w:rsidR="00F5152F" w14:paraId="23EAC79C" w14:textId="77777777" w:rsidTr="005254BB">
              <w:trPr>
                <w:trHeight w:val="300"/>
              </w:trPr>
              <w:tc>
                <w:tcPr>
                  <w:tcW w:w="3650" w:type="dxa"/>
                  <w:tcBorders>
                    <w:bottom w:val="single" w:sz="4" w:space="0" w:color="auto"/>
                  </w:tcBorders>
                  <w:vAlign w:val="bottom"/>
                </w:tcPr>
                <w:p w14:paraId="6E14EC7E" w14:textId="77777777" w:rsidR="00F5152F" w:rsidRPr="005D530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Shoulder Stabilization (Operations)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  <w:hideMark/>
                </w:tcPr>
                <w:p w14:paraId="33C1912A" w14:textId="52B6432C" w:rsidR="00F5152F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CA" w:eastAsia="en-CA"/>
                    </w:rPr>
                    <w:t>$265,000.00</w:t>
                  </w:r>
                </w:p>
              </w:tc>
            </w:tr>
            <w:tr w:rsidR="00F5152F" w14:paraId="06C601B5" w14:textId="77777777" w:rsidTr="005254BB">
              <w:trPr>
                <w:trHeight w:val="300"/>
              </w:trPr>
              <w:tc>
                <w:tcPr>
                  <w:tcW w:w="365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00F86CDD" w14:textId="77777777" w:rsidR="00F5152F" w:rsidRDefault="00F5152F" w:rsidP="005254BB">
                  <w:pPr>
                    <w:tabs>
                      <w:tab w:val="left" w:pos="6583"/>
                    </w:tabs>
                    <w:ind w:right="500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</w:pPr>
                  <w:r w:rsidRPr="001C0EAE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Total Available Funds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55750ECF" w14:textId="40DDC1A8" w:rsidR="00F5152F" w:rsidRDefault="00F5152F" w:rsidP="005254BB">
                  <w:pPr>
                    <w:tabs>
                      <w:tab w:val="left" w:pos="6583"/>
                    </w:tabs>
                    <w:ind w:right="50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</w:pPr>
                  <w:r w:rsidRPr="001C0EAE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$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CA" w:eastAsia="en-CA"/>
                    </w:rPr>
                    <w:t>2,341,000.00</w:t>
                  </w:r>
                </w:p>
              </w:tc>
            </w:tr>
          </w:tbl>
          <w:p w14:paraId="1BED1DFD" w14:textId="757B08D6" w:rsidR="00D237DC" w:rsidRPr="00995A98" w:rsidRDefault="00D237DC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95A98" w:rsidRPr="00995A98" w14:paraId="2BCE6B63" w14:textId="77777777" w:rsidTr="00FF4F7D">
        <w:tc>
          <w:tcPr>
            <w:tcW w:w="1915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FF4F7D">
        <w:tc>
          <w:tcPr>
            <w:tcW w:w="1915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2B64544B" w:rsidR="00D237DC" w:rsidRPr="00995A98" w:rsidRDefault="00D237DC" w:rsidP="006E2DFB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299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0B5F4CC1" w:rsidR="00D237DC" w:rsidRPr="00995A98" w:rsidRDefault="00376141" w:rsidP="005254BB">
            <w:pPr>
              <w:pStyle w:val="ListParagraph"/>
              <w:numPr>
                <w:ilvl w:val="0"/>
                <w:numId w:val="21"/>
              </w:numPr>
              <w:tabs>
                <w:tab w:val="left" w:pos="381"/>
                <w:tab w:val="right" w:pos="6318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Council could decide</w:t>
            </w:r>
            <w:r w:rsidR="00F5152F" w:rsidRPr="00F54202">
              <w:rPr>
                <w:rFonts w:asciiTheme="minorHAnsi" w:hAnsiTheme="minorHAnsi" w:cs="Arial"/>
                <w:sz w:val="23"/>
                <w:szCs w:val="23"/>
              </w:rPr>
              <w:t xml:space="preserve"> not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to</w:t>
            </w:r>
            <w:r w:rsidR="00F5152F" w:rsidRPr="00F54202">
              <w:rPr>
                <w:rFonts w:asciiTheme="minorHAnsi" w:hAnsiTheme="minorHAnsi" w:cs="Arial"/>
                <w:sz w:val="23"/>
                <w:szCs w:val="23"/>
              </w:rPr>
              <w:t xml:space="preserve"> award the contract</w:t>
            </w:r>
            <w:r w:rsidR="00F5152F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F5152F" w:rsidRPr="00F54202">
              <w:rPr>
                <w:rFonts w:asciiTheme="minorHAnsi" w:hAnsiTheme="minorHAnsi" w:cs="Arial"/>
                <w:sz w:val="23"/>
                <w:szCs w:val="23"/>
              </w:rPr>
              <w:t xml:space="preserve"> at this time.</w:t>
            </w:r>
          </w:p>
        </w:tc>
      </w:tr>
      <w:tr w:rsidR="00D237DC" w:rsidRPr="00995A98" w14:paraId="354C8815" w14:textId="77777777" w:rsidTr="00FF4F7D">
        <w:tc>
          <w:tcPr>
            <w:tcW w:w="1915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299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A43D766" w14:textId="77777777" w:rsidR="00F5152F" w:rsidRPr="00995A98" w:rsidRDefault="00F5152F" w:rsidP="005254BB">
            <w:p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77AB5BA3" w14:textId="0FEDD4C6" w:rsidR="00F5152F" w:rsidRPr="00C16326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523D50">
              <w:rPr>
                <w:rFonts w:asciiTheme="minorHAnsi" w:hAnsiTheme="minorHAnsi"/>
                <w:b/>
                <w:bCs/>
                <w:sz w:val="23"/>
                <w:szCs w:val="23"/>
              </w:rPr>
              <w:t>Maintain a</w:t>
            </w:r>
            <w:r w:rsidRPr="00C16326">
              <w:rPr>
                <w:rFonts w:asciiTheme="minorHAnsi" w:hAnsiTheme="minorHAnsi"/>
                <w:b/>
                <w:sz w:val="23"/>
                <w:szCs w:val="23"/>
              </w:rPr>
              <w:t xml:space="preserve">nd Enhance Strong Communities 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– Not awarding the contracts would </w:t>
            </w:r>
            <w:r w:rsidR="00376141">
              <w:rPr>
                <w:rFonts w:asciiTheme="minorHAnsi" w:hAnsiTheme="minorHAnsi"/>
                <w:sz w:val="23"/>
                <w:szCs w:val="23"/>
              </w:rPr>
              <w:t>be in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consistent with </w:t>
            </w:r>
            <w:r w:rsidR="005B083A">
              <w:rPr>
                <w:rFonts w:asciiTheme="minorHAnsi" w:hAnsiTheme="minorHAnsi"/>
                <w:sz w:val="23"/>
                <w:szCs w:val="23"/>
              </w:rPr>
              <w:t>G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oal 2.2 of the Strategic Plan: </w:t>
            </w:r>
            <w:r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“Sturgeon County </w:t>
            </w:r>
            <w:r w:rsidR="00376141"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>r</w:t>
            </w:r>
            <w:r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>esidents have access to safe and reliable infrastructure assets”.</w:t>
            </w:r>
          </w:p>
          <w:p w14:paraId="03E77886" w14:textId="62CFBB8A" w:rsidR="00F5152F" w:rsidRPr="00C16326" w:rsidRDefault="00F5152F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</w:rPr>
            </w:pPr>
            <w:r w:rsidRPr="00523D50">
              <w:rPr>
                <w:rFonts w:asciiTheme="minorHAnsi" w:hAnsiTheme="minorHAnsi"/>
                <w:b/>
                <w:bCs/>
                <w:sz w:val="23"/>
                <w:szCs w:val="23"/>
              </w:rPr>
              <w:t>Strong L</w:t>
            </w:r>
            <w:r w:rsidRPr="00C16326">
              <w:rPr>
                <w:rFonts w:asciiTheme="minorHAnsi" w:hAnsiTheme="minorHAnsi"/>
                <w:b/>
                <w:sz w:val="23"/>
                <w:szCs w:val="23"/>
              </w:rPr>
              <w:t xml:space="preserve">ocal and Regional Governance 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– Not awarding the contract would </w:t>
            </w:r>
            <w:r w:rsidR="00376141">
              <w:rPr>
                <w:rFonts w:asciiTheme="minorHAnsi" w:hAnsiTheme="minorHAnsi"/>
                <w:sz w:val="23"/>
                <w:szCs w:val="23"/>
              </w:rPr>
              <w:t>be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376141">
              <w:rPr>
                <w:rFonts w:asciiTheme="minorHAnsi" w:hAnsiTheme="minorHAnsi"/>
                <w:sz w:val="23"/>
                <w:szCs w:val="23"/>
              </w:rPr>
              <w:t>in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consistent with </w:t>
            </w:r>
            <w:r w:rsidR="005B083A">
              <w:rPr>
                <w:rFonts w:asciiTheme="minorHAnsi" w:hAnsiTheme="minorHAnsi"/>
                <w:sz w:val="23"/>
                <w:szCs w:val="23"/>
              </w:rPr>
              <w:t>G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oal 3.2 of the Strategic Plan: </w:t>
            </w:r>
            <w:r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>“Sturgeon County is financially stable and fiscally sustainable”.</w:t>
            </w:r>
            <w:r w:rsidRPr="00C16326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62076D57" w14:textId="565A7B18" w:rsidR="00F5152F" w:rsidRDefault="00F5152F" w:rsidP="005254BB">
            <w:pPr>
              <w:pStyle w:val="ListParagraph"/>
              <w:tabs>
                <w:tab w:val="left" w:pos="3240"/>
                <w:tab w:val="right" w:pos="6318"/>
                <w:tab w:val="left" w:pos="6583"/>
              </w:tabs>
              <w:spacing w:after="120"/>
              <w:ind w:left="362" w:right="50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Sub-goal 3.2.3 states that Sturgeon County is to have “</w:t>
            </w:r>
            <w:r w:rsidRPr="00376141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[a] level of infrastructure provided that is affordable, safe and sustainable as set by long-range plans”. </w:t>
            </w:r>
            <w:r>
              <w:rPr>
                <w:rFonts w:asciiTheme="minorHAnsi" w:hAnsiTheme="minorHAnsi"/>
                <w:sz w:val="23"/>
                <w:szCs w:val="23"/>
              </w:rPr>
              <w:t>Should this contract not be awarded, Sturgeon County’s overall life-cycle cost of maintaining these assets will increase thus decreasing the affordability. There is also a moderately increased safety risk to the travelling public driving as deteriorated roads can increase collision risk.</w:t>
            </w:r>
          </w:p>
          <w:p w14:paraId="51FA9971" w14:textId="77777777" w:rsidR="00F5152F" w:rsidRDefault="00F5152F" w:rsidP="005254BB">
            <w:p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15DD610A" w14:textId="72C2F2F3" w:rsidR="00F5152F" w:rsidRPr="00F5152F" w:rsidRDefault="00376141" w:rsidP="005254BB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By n</w:t>
            </w:r>
            <w:r w:rsidR="00F5152F">
              <w:rPr>
                <w:rFonts w:asciiTheme="minorHAnsi" w:hAnsiTheme="minorHAnsi"/>
                <w:sz w:val="23"/>
                <w:szCs w:val="23"/>
              </w:rPr>
              <w:t xml:space="preserve">ot awarding the contract, Sturgeon County will be required to continue maintenance on some of the most maintenance intensive road assets, thereby reducing </w:t>
            </w:r>
            <w:r>
              <w:rPr>
                <w:rFonts w:asciiTheme="minorHAnsi" w:hAnsiTheme="minorHAnsi"/>
                <w:sz w:val="23"/>
                <w:szCs w:val="23"/>
              </w:rPr>
              <w:t>the County’s</w:t>
            </w:r>
            <w:r w:rsidR="00F5152F">
              <w:rPr>
                <w:rFonts w:asciiTheme="minorHAnsi" w:hAnsiTheme="minorHAnsi"/>
                <w:sz w:val="23"/>
                <w:szCs w:val="23"/>
              </w:rPr>
              <w:t xml:space="preserve"> overall capacity to maintain St</w:t>
            </w:r>
            <w:r w:rsidR="00F5152F" w:rsidRPr="00450FA1">
              <w:rPr>
                <w:rFonts w:asciiTheme="minorHAnsi" w:hAnsiTheme="minorHAnsi"/>
                <w:sz w:val="23"/>
                <w:szCs w:val="23"/>
              </w:rPr>
              <w:t>urgeon County’s service commitment to operational excellence.</w:t>
            </w:r>
          </w:p>
          <w:p w14:paraId="5D80CF2C" w14:textId="77777777" w:rsidR="00F5152F" w:rsidRDefault="00F5152F" w:rsidP="005254BB">
            <w:pPr>
              <w:tabs>
                <w:tab w:val="left" w:pos="3240"/>
                <w:tab w:val="right" w:pos="6318"/>
                <w:tab w:val="left" w:pos="6583"/>
              </w:tabs>
              <w:spacing w:after="12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555191A0" w14:textId="6251FB9C" w:rsidR="00D237DC" w:rsidRPr="00995A98" w:rsidRDefault="00F5152F" w:rsidP="00523D50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583"/>
              </w:tabs>
              <w:ind w:left="357" w:right="499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Not awarding this contract will only temporarily defer the required capital renewal cost for these road assets while </w:t>
            </w:r>
            <w:r w:rsidR="00376141">
              <w:rPr>
                <w:rFonts w:asciiTheme="minorHAnsi" w:hAnsiTheme="minorHAnsi"/>
                <w:sz w:val="23"/>
                <w:szCs w:val="23"/>
              </w:rPr>
              <w:t xml:space="preserve">the County’s </w:t>
            </w:r>
            <w:r>
              <w:rPr>
                <w:rFonts w:asciiTheme="minorHAnsi" w:hAnsiTheme="minorHAnsi"/>
                <w:sz w:val="23"/>
                <w:szCs w:val="23"/>
              </w:rPr>
              <w:t>immediate maintenance costs will continue to grow.</w:t>
            </w:r>
          </w:p>
        </w:tc>
      </w:tr>
      <w:tr w:rsidR="006023C3" w:rsidRPr="00995A98" w14:paraId="3E537BB0" w14:textId="77777777" w:rsidTr="00FF4F7D">
        <w:tc>
          <w:tcPr>
            <w:tcW w:w="1915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FF4F7D"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0ACDD6" w14:textId="47AAE548" w:rsidR="00B04D23" w:rsidRDefault="00376141" w:rsidP="005254BB">
            <w:pPr>
              <w:pStyle w:val="ListParagraph"/>
              <w:numPr>
                <w:ilvl w:val="0"/>
                <w:numId w:val="23"/>
              </w:num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Execute the</w:t>
            </w:r>
            <w:r w:rsidR="00B04D23" w:rsidRPr="004E413A">
              <w:rPr>
                <w:rFonts w:asciiTheme="minorHAnsi" w:hAnsiTheme="minorHAnsi" w:cs="Arial"/>
                <w:sz w:val="23"/>
                <w:szCs w:val="23"/>
              </w:rPr>
              <w:t xml:space="preserve"> contract</w:t>
            </w:r>
            <w:r w:rsidR="00F06354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B04D23" w:rsidRPr="004E413A">
              <w:rPr>
                <w:rFonts w:asciiTheme="minorHAnsi" w:hAnsiTheme="minorHAnsi" w:cs="Arial"/>
                <w:sz w:val="23"/>
                <w:szCs w:val="23"/>
              </w:rPr>
              <w:t xml:space="preserve"> with </w:t>
            </w:r>
            <w:r w:rsidR="00B04D23">
              <w:rPr>
                <w:rFonts w:asciiTheme="minorHAnsi" w:hAnsiTheme="minorHAnsi"/>
                <w:sz w:val="23"/>
                <w:szCs w:val="23"/>
              </w:rPr>
              <w:t xml:space="preserve">PME Inc. and </w:t>
            </w:r>
            <w:r w:rsidR="00B04D23" w:rsidRPr="00F5152F">
              <w:rPr>
                <w:rFonts w:asciiTheme="minorHAnsi" w:hAnsiTheme="minorHAnsi"/>
                <w:sz w:val="23"/>
                <w:szCs w:val="23"/>
              </w:rPr>
              <w:t>Doblanko Contracting Ltd.</w:t>
            </w:r>
            <w:r w:rsidR="00B04D23">
              <w:rPr>
                <w:rFonts w:asciiTheme="minorHAnsi" w:hAnsiTheme="minorHAnsi"/>
                <w:sz w:val="23"/>
                <w:szCs w:val="23"/>
              </w:rPr>
              <w:t xml:space="preserve"> (CAO Office, Q2 2021).</w:t>
            </w:r>
          </w:p>
          <w:p w14:paraId="0724ACBB" w14:textId="04CBDF83" w:rsidR="00323978" w:rsidRPr="00995A98" w:rsidRDefault="00376141" w:rsidP="005254BB">
            <w:pPr>
              <w:pStyle w:val="ListParagraph"/>
              <w:numPr>
                <w:ilvl w:val="0"/>
                <w:numId w:val="23"/>
              </w:num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Mail notification letters</w:t>
            </w:r>
            <w:r w:rsidR="00B04D23" w:rsidRPr="00FA7E85">
              <w:rPr>
                <w:rFonts w:asciiTheme="minorHAnsi" w:hAnsiTheme="minorHAnsi" w:cs="Arial"/>
                <w:sz w:val="23"/>
                <w:szCs w:val="23"/>
              </w:rPr>
              <w:t xml:space="preserve"> to residents (Transportation </w:t>
            </w:r>
            <w:r w:rsidR="00523D50">
              <w:rPr>
                <w:rFonts w:asciiTheme="minorHAnsi" w:hAnsiTheme="minorHAnsi" w:cs="Arial"/>
                <w:sz w:val="23"/>
                <w:szCs w:val="23"/>
              </w:rPr>
              <w:t>and</w:t>
            </w:r>
            <w:r w:rsidR="00B04D23" w:rsidRPr="00FA7E85">
              <w:rPr>
                <w:rFonts w:asciiTheme="minorHAnsi" w:hAnsiTheme="minorHAnsi" w:cs="Arial"/>
                <w:sz w:val="23"/>
                <w:szCs w:val="23"/>
              </w:rPr>
              <w:t xml:space="preserve"> Engineering Services, Q3, 2021).</w:t>
            </w:r>
          </w:p>
        </w:tc>
      </w:tr>
      <w:tr w:rsidR="00CC0A5D" w:rsidRPr="00995A98" w14:paraId="6935042E" w14:textId="77777777" w:rsidTr="00FF4F7D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</w:tcBorders>
          </w:tcPr>
          <w:p w14:paraId="62BC3473" w14:textId="6202EC90" w:rsidR="00B04D23" w:rsidRPr="00995A98" w:rsidRDefault="00B04D23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14:paraId="0580F7A7" w14:textId="77777777" w:rsidR="00523D50" w:rsidRDefault="00523D50">
      <w:r>
        <w:br w:type="page"/>
      </w:r>
    </w:p>
    <w:tbl>
      <w:tblPr>
        <w:tblW w:w="921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299"/>
      </w:tblGrid>
      <w:tr w:rsidR="00323978" w:rsidRPr="00995A98" w14:paraId="5F8BA5DB" w14:textId="77777777" w:rsidTr="005254BB">
        <w:tc>
          <w:tcPr>
            <w:tcW w:w="1915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395ED0E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Attachment(s)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71D703E9" w14:textId="0649B073" w:rsidR="00F06354" w:rsidRDefault="00C16326" w:rsidP="005254BB">
            <w:pPr>
              <w:pStyle w:val="ListParagraph"/>
              <w:numPr>
                <w:ilvl w:val="0"/>
                <w:numId w:val="24"/>
              </w:numPr>
              <w:tabs>
                <w:tab w:val="right" w:pos="6318"/>
                <w:tab w:val="left" w:pos="6583"/>
              </w:tabs>
              <w:ind w:left="390" w:right="50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Attachment 1</w:t>
            </w:r>
            <w:r w:rsidR="00FF4F7D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F06354" w:rsidRPr="00B04D23">
              <w:rPr>
                <w:rFonts w:asciiTheme="minorHAnsi" w:hAnsiTheme="minorHAnsi"/>
                <w:sz w:val="23"/>
                <w:szCs w:val="23"/>
              </w:rPr>
              <w:t xml:space="preserve">Locations Map </w:t>
            </w:r>
          </w:p>
          <w:p w14:paraId="2011A24A" w14:textId="3A7A75B4" w:rsidR="00B04D23" w:rsidRPr="00B04D23" w:rsidRDefault="00C16326" w:rsidP="005254BB">
            <w:pPr>
              <w:pStyle w:val="ListParagraph"/>
              <w:numPr>
                <w:ilvl w:val="0"/>
                <w:numId w:val="24"/>
              </w:numPr>
              <w:tabs>
                <w:tab w:val="right" w:pos="6318"/>
                <w:tab w:val="left" w:pos="6583"/>
              </w:tabs>
              <w:ind w:left="390"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5B083A">
              <w:rPr>
                <w:rFonts w:asciiTheme="minorHAnsi" w:hAnsiTheme="minorHAnsi"/>
                <w:sz w:val="23"/>
                <w:szCs w:val="23"/>
              </w:rPr>
              <w:t xml:space="preserve">Attachment </w:t>
            </w:r>
            <w:r w:rsidR="00376141">
              <w:rPr>
                <w:rFonts w:asciiTheme="minorHAnsi" w:hAnsiTheme="minorHAnsi"/>
                <w:sz w:val="23"/>
                <w:szCs w:val="23"/>
              </w:rPr>
              <w:t>2</w:t>
            </w:r>
            <w:r w:rsidR="00FF4F7D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B04D23" w:rsidRPr="005B083A">
              <w:rPr>
                <w:rFonts w:asciiTheme="minorHAnsi" w:hAnsiTheme="minorHAnsi"/>
                <w:sz w:val="23"/>
                <w:szCs w:val="23"/>
              </w:rPr>
              <w:t>Tender Bid Results</w:t>
            </w:r>
          </w:p>
        </w:tc>
      </w:tr>
      <w:tr w:rsidR="00323978" w:rsidRPr="00995A98" w14:paraId="56199574" w14:textId="77777777" w:rsidTr="005254BB">
        <w:tc>
          <w:tcPr>
            <w:tcW w:w="1915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5254BB">
            <w:pPr>
              <w:tabs>
                <w:tab w:val="left" w:pos="3240"/>
                <w:tab w:val="right" w:pos="6318"/>
                <w:tab w:val="left" w:pos="6583"/>
              </w:tabs>
              <w:ind w:right="50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5254BB">
        <w:tc>
          <w:tcPr>
            <w:tcW w:w="1915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299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34F5463F" w14:textId="77777777" w:rsidR="00C16326" w:rsidRDefault="00C16326" w:rsidP="005254BB">
            <w:pPr>
              <w:pStyle w:val="NormalWeb"/>
              <w:tabs>
                <w:tab w:val="left" w:pos="6583"/>
              </w:tabs>
              <w:spacing w:before="0" w:beforeAutospacing="0" w:after="0" w:afterAutospacing="0"/>
              <w:ind w:right="500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  <w:p w14:paraId="34B847C3" w14:textId="5DB74E1F" w:rsidR="00B04D23" w:rsidRDefault="00B04D23" w:rsidP="005254BB">
            <w:pPr>
              <w:pStyle w:val="NormalWeb"/>
              <w:tabs>
                <w:tab w:val="left" w:pos="6583"/>
              </w:tabs>
              <w:spacing w:before="0" w:beforeAutospacing="0" w:after="0" w:afterAutospacing="0"/>
              <w:ind w:right="500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Gary Mayhew, Manager</w:t>
            </w:r>
            <w:r w:rsidR="00F044C1">
              <w:rPr>
                <w:rFonts w:ascii="Calibri" w:hAnsi="Calibri" w:cs="Calibri"/>
                <w:sz w:val="23"/>
                <w:szCs w:val="23"/>
                <w:lang w:val="en-US"/>
              </w:rPr>
              <w:t>,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 Transportation and Engineering Services</w:t>
            </w:r>
          </w:p>
          <w:p w14:paraId="1CA5C5B4" w14:textId="77777777" w:rsidR="00B04D23" w:rsidRDefault="00B04D23" w:rsidP="005254BB">
            <w:pPr>
              <w:pStyle w:val="NormalWeb"/>
              <w:tabs>
                <w:tab w:val="left" w:pos="6583"/>
              </w:tabs>
              <w:spacing w:before="0" w:beforeAutospacing="0" w:after="0" w:afterAutospacing="0"/>
              <w:ind w:right="500"/>
              <w:rPr>
                <w:rFonts w:ascii="Calibri" w:hAnsi="Calibri" w:cs="Calibri"/>
                <w:noProof/>
                <w:sz w:val="23"/>
                <w:szCs w:val="23"/>
                <w:lang w:val="en-US"/>
              </w:rPr>
            </w:pPr>
          </w:p>
          <w:p w14:paraId="1E9E5745" w14:textId="4BB36478" w:rsidR="00B04D23" w:rsidRDefault="00B04D23" w:rsidP="005254BB">
            <w:pPr>
              <w:pStyle w:val="NormalWeb"/>
              <w:tabs>
                <w:tab w:val="left" w:pos="6583"/>
              </w:tabs>
              <w:spacing w:before="0" w:beforeAutospacing="0" w:after="0" w:afterAutospacing="0"/>
              <w:ind w:right="500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Scott MacDougall, Chief Operati</w:t>
            </w:r>
            <w:r w:rsidR="00F044C1">
              <w:rPr>
                <w:rFonts w:ascii="Calibri" w:hAnsi="Calibri" w:cs="Calibri"/>
                <w:sz w:val="23"/>
                <w:szCs w:val="23"/>
                <w:lang w:val="en-US"/>
              </w:rPr>
              <w:t>ons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 Officer</w:t>
            </w:r>
            <w:r w:rsidR="00F044C1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="00376141">
              <w:rPr>
                <w:rFonts w:ascii="Calibri" w:hAnsi="Calibri" w:cs="Calibri"/>
                <w:sz w:val="23"/>
                <w:szCs w:val="23"/>
                <w:lang w:val="en-US"/>
              </w:rPr>
              <w:t>–</w:t>
            </w:r>
            <w:r w:rsidR="00F044C1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COO</w:t>
            </w:r>
            <w:r w:rsidR="00376141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</w:p>
          <w:p w14:paraId="3B86B37B" w14:textId="77777777" w:rsidR="00B04D23" w:rsidRDefault="00B04D23" w:rsidP="005254BB">
            <w:pPr>
              <w:pStyle w:val="NormalWeb"/>
              <w:tabs>
                <w:tab w:val="left" w:pos="6583"/>
              </w:tabs>
              <w:spacing w:before="0" w:beforeAutospacing="0" w:after="0" w:afterAutospacing="0"/>
              <w:ind w:right="500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  <w:p w14:paraId="18DBE84F" w14:textId="52A3AD3E" w:rsidR="00323978" w:rsidRPr="00995A98" w:rsidRDefault="00B04D23" w:rsidP="00523D50">
            <w:pPr>
              <w:pStyle w:val="NormalWeb"/>
              <w:tabs>
                <w:tab w:val="left" w:pos="6583"/>
              </w:tabs>
              <w:spacing w:before="0" w:beforeAutospacing="0" w:after="0" w:afterAutospacing="0"/>
              <w:ind w:right="50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Reegan McCullough, County Commissioner – CAO</w:t>
            </w:r>
          </w:p>
        </w:tc>
      </w:tr>
    </w:tbl>
    <w:p w14:paraId="00F5D1C0" w14:textId="77777777" w:rsidR="00523D50" w:rsidRDefault="00523D5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0F568F6B" w14:textId="779096CB" w:rsidR="005201F1" w:rsidRPr="00C52FA7" w:rsidRDefault="005201F1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445BE749" w:rsidR="008675A1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5AF54A81" w:rsidR="008675A1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6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771341F8" w:rsidR="007E42F4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2382F688" w:rsidR="00290B0D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45A3DE52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7AA4B962" w:rsidR="00290B0D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bookmarkEnd w:id="6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4C5725DC" w:rsidR="007E42F4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D35DA91" w:rsidR="007E42F4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40E5CF20" w:rsidR="007E42F4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1C98F24E" w:rsidR="0043439B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7F0F6F82" w:rsidR="007E42F4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3DCD8B48" w:rsidR="005201F1" w:rsidRPr="00995A98" w:rsidRDefault="00B04D2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038BF97" w:rsidR="005201F1" w:rsidRPr="00995A98" w:rsidRDefault="00B04D2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41EDB6FD" w:rsidR="005201F1" w:rsidRPr="00995A98" w:rsidRDefault="00B04D2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12F2EFE6" w:rsidR="005201F1" w:rsidRPr="00995A98" w:rsidRDefault="00B04D2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09139B73" w:rsidR="0068496D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27AE197B" w:rsidR="0068496D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70B69676" w:rsidR="0068496D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38B08437" w:rsidR="005201F1" w:rsidRPr="00995A98" w:rsidRDefault="00B04D2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638D65FC" w:rsidR="005201F1" w:rsidRPr="00995A98" w:rsidRDefault="00B04D2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6B5BBB5D" w:rsidR="00A174F1" w:rsidRPr="00995A98" w:rsidRDefault="00B04D2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5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7CCA" w14:textId="77777777" w:rsidR="003361FE" w:rsidRDefault="003361FE">
      <w:r>
        <w:separator/>
      </w:r>
    </w:p>
  </w:endnote>
  <w:endnote w:type="continuationSeparator" w:id="0">
    <w:p w14:paraId="5E00387A" w14:textId="77777777" w:rsidR="003361FE" w:rsidRDefault="003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1DACE763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6B52C3">
      <w:rPr>
        <w:rFonts w:asciiTheme="minorHAnsi" w:hAnsiTheme="minorHAnsi"/>
        <w:b w:val="0"/>
        <w:bCs/>
        <w:color w:val="999999"/>
        <w:sz w:val="20"/>
      </w:rPr>
      <w:t xml:space="preserve">June 15, </w:t>
    </w:r>
    <w:r w:rsidR="00995A98">
      <w:rPr>
        <w:rFonts w:asciiTheme="minorHAnsi" w:hAnsiTheme="minorHAnsi"/>
        <w:b w:val="0"/>
        <w:bCs/>
        <w:color w:val="999999"/>
        <w:sz w:val="20"/>
      </w:rPr>
      <w:t>20</w:t>
    </w:r>
    <w:r w:rsidR="006B52C3">
      <w:rPr>
        <w:rFonts w:asciiTheme="minorHAnsi" w:hAnsiTheme="minorHAnsi"/>
        <w:b w:val="0"/>
        <w:bCs/>
        <w:color w:val="999999"/>
        <w:sz w:val="20"/>
      </w:rPr>
      <w:t>21</w:t>
    </w:r>
  </w:p>
  <w:p w14:paraId="4515F142" w14:textId="383556F1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6B52C3">
      <w:rPr>
        <w:rFonts w:asciiTheme="minorHAnsi" w:hAnsiTheme="minorHAnsi"/>
        <w:b w:val="0"/>
        <w:bCs/>
        <w:color w:val="999999"/>
        <w:sz w:val="20"/>
      </w:rPr>
      <w:t>J</w:t>
    </w:r>
    <w:r w:rsidR="00B04D23">
      <w:rPr>
        <w:rFonts w:asciiTheme="minorHAnsi" w:hAnsiTheme="minorHAnsi"/>
        <w:b w:val="0"/>
        <w:bCs/>
        <w:color w:val="999999"/>
        <w:sz w:val="20"/>
      </w:rPr>
      <w:t>une 22</w:t>
    </w:r>
    <w:r>
      <w:rPr>
        <w:rFonts w:asciiTheme="minorHAnsi" w:hAnsiTheme="minorHAnsi"/>
        <w:b w:val="0"/>
        <w:bCs/>
        <w:color w:val="999999"/>
        <w:sz w:val="20"/>
      </w:rPr>
      <w:t>, 20</w:t>
    </w:r>
    <w:r w:rsidR="00B04D23">
      <w:rPr>
        <w:rFonts w:asciiTheme="minorHAnsi" w:hAnsiTheme="minorHAnsi"/>
        <w:b w:val="0"/>
        <w:bCs/>
        <w:color w:val="999999"/>
        <w:sz w:val="20"/>
      </w:rPr>
      <w:t>21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D710" w14:textId="77777777" w:rsidR="003361FE" w:rsidRDefault="003361FE">
      <w:r>
        <w:separator/>
      </w:r>
    </w:p>
  </w:footnote>
  <w:footnote w:type="continuationSeparator" w:id="0">
    <w:p w14:paraId="74BB6F45" w14:textId="77777777" w:rsidR="003361FE" w:rsidRDefault="0033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252401AE"/>
    <w:multiLevelType w:val="hybridMultilevel"/>
    <w:tmpl w:val="64F2E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465"/>
    <w:multiLevelType w:val="hybridMultilevel"/>
    <w:tmpl w:val="48A8B5AC"/>
    <w:lvl w:ilvl="0" w:tplc="368CE5F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44815"/>
    <w:multiLevelType w:val="hybridMultilevel"/>
    <w:tmpl w:val="AE604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05C3E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68F1"/>
    <w:multiLevelType w:val="hybridMultilevel"/>
    <w:tmpl w:val="47CE195C"/>
    <w:lvl w:ilvl="0" w:tplc="A702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2159B"/>
    <w:multiLevelType w:val="hybridMultilevel"/>
    <w:tmpl w:val="9496AC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73327"/>
    <w:multiLevelType w:val="hybridMultilevel"/>
    <w:tmpl w:val="FA6A452E"/>
    <w:lvl w:ilvl="0" w:tplc="69660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441CFF"/>
    <w:multiLevelType w:val="hybridMultilevel"/>
    <w:tmpl w:val="D77C2F5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D49F4"/>
    <w:multiLevelType w:val="hybridMultilevel"/>
    <w:tmpl w:val="A976C4A8"/>
    <w:lvl w:ilvl="0" w:tplc="A702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456C"/>
    <w:multiLevelType w:val="hybridMultilevel"/>
    <w:tmpl w:val="4F781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9"/>
  </w:num>
  <w:num w:numId="8">
    <w:abstractNumId w:val="17"/>
  </w:num>
  <w:num w:numId="9">
    <w:abstractNumId w:val="18"/>
  </w:num>
  <w:num w:numId="10">
    <w:abstractNumId w:val="22"/>
  </w:num>
  <w:num w:numId="11">
    <w:abstractNumId w:val="0"/>
  </w:num>
  <w:num w:numId="12">
    <w:abstractNumId w:val="23"/>
  </w:num>
  <w:num w:numId="13">
    <w:abstractNumId w:val="15"/>
  </w:num>
  <w:num w:numId="14">
    <w:abstractNumId w:val="21"/>
  </w:num>
  <w:num w:numId="15">
    <w:abstractNumId w:val="11"/>
  </w:num>
  <w:num w:numId="16">
    <w:abstractNumId w:val="7"/>
  </w:num>
  <w:num w:numId="17">
    <w:abstractNumId w:val="3"/>
  </w:num>
  <w:num w:numId="18">
    <w:abstractNumId w:val="13"/>
  </w:num>
  <w:num w:numId="19">
    <w:abstractNumId w:val="20"/>
  </w:num>
  <w:num w:numId="20">
    <w:abstractNumId w:val="12"/>
  </w:num>
  <w:num w:numId="21">
    <w:abstractNumId w:val="4"/>
  </w:num>
  <w:num w:numId="22">
    <w:abstractNumId w:val="24"/>
  </w:num>
  <w:num w:numId="23">
    <w:abstractNumId w:val="6"/>
  </w:num>
  <w:num w:numId="24">
    <w:abstractNumId w:val="25"/>
  </w:num>
  <w:num w:numId="25">
    <w:abstractNumId w:val="16"/>
  </w:num>
  <w:num w:numId="2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0529"/>
    <w:rsid w:val="00065AE5"/>
    <w:rsid w:val="00075F5C"/>
    <w:rsid w:val="00077129"/>
    <w:rsid w:val="000835DE"/>
    <w:rsid w:val="00095A83"/>
    <w:rsid w:val="000B118C"/>
    <w:rsid w:val="000E190B"/>
    <w:rsid w:val="000F5525"/>
    <w:rsid w:val="00101776"/>
    <w:rsid w:val="00110343"/>
    <w:rsid w:val="00124814"/>
    <w:rsid w:val="001308E8"/>
    <w:rsid w:val="00142DD5"/>
    <w:rsid w:val="001448FA"/>
    <w:rsid w:val="00170E32"/>
    <w:rsid w:val="0018386A"/>
    <w:rsid w:val="001848A0"/>
    <w:rsid w:val="0018529E"/>
    <w:rsid w:val="00194938"/>
    <w:rsid w:val="001A3DD6"/>
    <w:rsid w:val="001B202F"/>
    <w:rsid w:val="001C134D"/>
    <w:rsid w:val="001D1AED"/>
    <w:rsid w:val="001D28FD"/>
    <w:rsid w:val="001E79C9"/>
    <w:rsid w:val="00200AE3"/>
    <w:rsid w:val="00202F3A"/>
    <w:rsid w:val="0020414F"/>
    <w:rsid w:val="00211D4B"/>
    <w:rsid w:val="002158FF"/>
    <w:rsid w:val="00241F15"/>
    <w:rsid w:val="00245E2C"/>
    <w:rsid w:val="002601A2"/>
    <w:rsid w:val="00280178"/>
    <w:rsid w:val="00286002"/>
    <w:rsid w:val="00290B0D"/>
    <w:rsid w:val="002D5DC2"/>
    <w:rsid w:val="002F39E5"/>
    <w:rsid w:val="0030162C"/>
    <w:rsid w:val="00305A9E"/>
    <w:rsid w:val="00306935"/>
    <w:rsid w:val="0032153A"/>
    <w:rsid w:val="00323978"/>
    <w:rsid w:val="00334904"/>
    <w:rsid w:val="00335992"/>
    <w:rsid w:val="003361FE"/>
    <w:rsid w:val="003439C5"/>
    <w:rsid w:val="00353FC5"/>
    <w:rsid w:val="003751B2"/>
    <w:rsid w:val="00376141"/>
    <w:rsid w:val="003853BE"/>
    <w:rsid w:val="0039117E"/>
    <w:rsid w:val="00394141"/>
    <w:rsid w:val="003973AF"/>
    <w:rsid w:val="00397440"/>
    <w:rsid w:val="003A3593"/>
    <w:rsid w:val="003A37AD"/>
    <w:rsid w:val="003B418C"/>
    <w:rsid w:val="003B74CB"/>
    <w:rsid w:val="003C224D"/>
    <w:rsid w:val="003C729B"/>
    <w:rsid w:val="003D063E"/>
    <w:rsid w:val="003D3DF0"/>
    <w:rsid w:val="003E6787"/>
    <w:rsid w:val="00406A37"/>
    <w:rsid w:val="00407577"/>
    <w:rsid w:val="00410AD4"/>
    <w:rsid w:val="00414F03"/>
    <w:rsid w:val="0043439B"/>
    <w:rsid w:val="00445C9E"/>
    <w:rsid w:val="00454159"/>
    <w:rsid w:val="00461A8C"/>
    <w:rsid w:val="004A31DF"/>
    <w:rsid w:val="004B61AE"/>
    <w:rsid w:val="004D01B2"/>
    <w:rsid w:val="004D13A7"/>
    <w:rsid w:val="004D411A"/>
    <w:rsid w:val="004D4494"/>
    <w:rsid w:val="004D7C21"/>
    <w:rsid w:val="004E02C8"/>
    <w:rsid w:val="004E2D44"/>
    <w:rsid w:val="004E4C16"/>
    <w:rsid w:val="004E623B"/>
    <w:rsid w:val="004F333F"/>
    <w:rsid w:val="005201F1"/>
    <w:rsid w:val="0052158F"/>
    <w:rsid w:val="00523D50"/>
    <w:rsid w:val="0052471D"/>
    <w:rsid w:val="005251FD"/>
    <w:rsid w:val="005254BB"/>
    <w:rsid w:val="00526683"/>
    <w:rsid w:val="005313D3"/>
    <w:rsid w:val="005314F4"/>
    <w:rsid w:val="005349BF"/>
    <w:rsid w:val="00546220"/>
    <w:rsid w:val="00547FE8"/>
    <w:rsid w:val="00550564"/>
    <w:rsid w:val="00562E77"/>
    <w:rsid w:val="00564E9C"/>
    <w:rsid w:val="00571759"/>
    <w:rsid w:val="00574452"/>
    <w:rsid w:val="0058262F"/>
    <w:rsid w:val="00585FC3"/>
    <w:rsid w:val="005A0861"/>
    <w:rsid w:val="005B083A"/>
    <w:rsid w:val="005B5E44"/>
    <w:rsid w:val="005D776C"/>
    <w:rsid w:val="005E4B38"/>
    <w:rsid w:val="005E626E"/>
    <w:rsid w:val="005F0217"/>
    <w:rsid w:val="005F4D56"/>
    <w:rsid w:val="005F7308"/>
    <w:rsid w:val="0060226A"/>
    <w:rsid w:val="006023C3"/>
    <w:rsid w:val="00602885"/>
    <w:rsid w:val="00636010"/>
    <w:rsid w:val="006634C1"/>
    <w:rsid w:val="00664295"/>
    <w:rsid w:val="00672200"/>
    <w:rsid w:val="0067613E"/>
    <w:rsid w:val="0068496D"/>
    <w:rsid w:val="00692CA5"/>
    <w:rsid w:val="00696DD6"/>
    <w:rsid w:val="006A1244"/>
    <w:rsid w:val="006B52C3"/>
    <w:rsid w:val="006B6AA8"/>
    <w:rsid w:val="006D336A"/>
    <w:rsid w:val="006D4BF5"/>
    <w:rsid w:val="006D57FB"/>
    <w:rsid w:val="006E2DFB"/>
    <w:rsid w:val="006E7AC5"/>
    <w:rsid w:val="006F189C"/>
    <w:rsid w:val="006F34C1"/>
    <w:rsid w:val="0070355C"/>
    <w:rsid w:val="0070601B"/>
    <w:rsid w:val="00710FFE"/>
    <w:rsid w:val="00721780"/>
    <w:rsid w:val="00721A07"/>
    <w:rsid w:val="00741697"/>
    <w:rsid w:val="007418E8"/>
    <w:rsid w:val="00745013"/>
    <w:rsid w:val="00745E2B"/>
    <w:rsid w:val="007910CD"/>
    <w:rsid w:val="007961DA"/>
    <w:rsid w:val="00796DE8"/>
    <w:rsid w:val="007B2527"/>
    <w:rsid w:val="007B4182"/>
    <w:rsid w:val="007C490E"/>
    <w:rsid w:val="007C69F2"/>
    <w:rsid w:val="007C6DFB"/>
    <w:rsid w:val="007C7413"/>
    <w:rsid w:val="007D0FAD"/>
    <w:rsid w:val="007D153E"/>
    <w:rsid w:val="007E0FE2"/>
    <w:rsid w:val="007E42F4"/>
    <w:rsid w:val="0083066C"/>
    <w:rsid w:val="008314BE"/>
    <w:rsid w:val="00854B04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CDE"/>
    <w:rsid w:val="008B00D5"/>
    <w:rsid w:val="008B5DBE"/>
    <w:rsid w:val="008E06B8"/>
    <w:rsid w:val="008E140E"/>
    <w:rsid w:val="008E2937"/>
    <w:rsid w:val="008E2CCE"/>
    <w:rsid w:val="008F0889"/>
    <w:rsid w:val="0090345C"/>
    <w:rsid w:val="0091072C"/>
    <w:rsid w:val="009155A1"/>
    <w:rsid w:val="00924D4B"/>
    <w:rsid w:val="00940FD8"/>
    <w:rsid w:val="009438F8"/>
    <w:rsid w:val="00952915"/>
    <w:rsid w:val="00956CBB"/>
    <w:rsid w:val="00964F15"/>
    <w:rsid w:val="00966A65"/>
    <w:rsid w:val="00975691"/>
    <w:rsid w:val="00990948"/>
    <w:rsid w:val="00991E0B"/>
    <w:rsid w:val="00992937"/>
    <w:rsid w:val="00995A98"/>
    <w:rsid w:val="009A43FC"/>
    <w:rsid w:val="009A6A22"/>
    <w:rsid w:val="009C3FEF"/>
    <w:rsid w:val="009F5513"/>
    <w:rsid w:val="00A15FEA"/>
    <w:rsid w:val="00A174F1"/>
    <w:rsid w:val="00A26503"/>
    <w:rsid w:val="00A43A93"/>
    <w:rsid w:val="00A44FB1"/>
    <w:rsid w:val="00A514B9"/>
    <w:rsid w:val="00A52F85"/>
    <w:rsid w:val="00A554B7"/>
    <w:rsid w:val="00A5595D"/>
    <w:rsid w:val="00A61D76"/>
    <w:rsid w:val="00A651F5"/>
    <w:rsid w:val="00A75467"/>
    <w:rsid w:val="00A82A30"/>
    <w:rsid w:val="00AA3545"/>
    <w:rsid w:val="00AA702D"/>
    <w:rsid w:val="00AB2778"/>
    <w:rsid w:val="00AC21F2"/>
    <w:rsid w:val="00AD2A95"/>
    <w:rsid w:val="00AE0152"/>
    <w:rsid w:val="00B03676"/>
    <w:rsid w:val="00B04D23"/>
    <w:rsid w:val="00B1304C"/>
    <w:rsid w:val="00B215D9"/>
    <w:rsid w:val="00B26225"/>
    <w:rsid w:val="00B2766F"/>
    <w:rsid w:val="00B4148F"/>
    <w:rsid w:val="00B41C7A"/>
    <w:rsid w:val="00B537B7"/>
    <w:rsid w:val="00B54D77"/>
    <w:rsid w:val="00B5663F"/>
    <w:rsid w:val="00B670F2"/>
    <w:rsid w:val="00B72930"/>
    <w:rsid w:val="00B72C87"/>
    <w:rsid w:val="00B75380"/>
    <w:rsid w:val="00B85225"/>
    <w:rsid w:val="00B8593D"/>
    <w:rsid w:val="00B87778"/>
    <w:rsid w:val="00BB0C0B"/>
    <w:rsid w:val="00BB1517"/>
    <w:rsid w:val="00BC49CA"/>
    <w:rsid w:val="00BC5AC3"/>
    <w:rsid w:val="00BD33DA"/>
    <w:rsid w:val="00BF3302"/>
    <w:rsid w:val="00C00AA1"/>
    <w:rsid w:val="00C02B01"/>
    <w:rsid w:val="00C14EEB"/>
    <w:rsid w:val="00C16326"/>
    <w:rsid w:val="00C36C13"/>
    <w:rsid w:val="00C433CD"/>
    <w:rsid w:val="00C52FA7"/>
    <w:rsid w:val="00C62EB6"/>
    <w:rsid w:val="00C805A9"/>
    <w:rsid w:val="00C82387"/>
    <w:rsid w:val="00C8731C"/>
    <w:rsid w:val="00C96967"/>
    <w:rsid w:val="00CB17B5"/>
    <w:rsid w:val="00CB2F2D"/>
    <w:rsid w:val="00CB3C92"/>
    <w:rsid w:val="00CC0A5D"/>
    <w:rsid w:val="00CC7707"/>
    <w:rsid w:val="00CE0109"/>
    <w:rsid w:val="00CF0AB9"/>
    <w:rsid w:val="00CF27C6"/>
    <w:rsid w:val="00D01131"/>
    <w:rsid w:val="00D02EDE"/>
    <w:rsid w:val="00D10FAD"/>
    <w:rsid w:val="00D20C46"/>
    <w:rsid w:val="00D21E35"/>
    <w:rsid w:val="00D2364E"/>
    <w:rsid w:val="00D237DC"/>
    <w:rsid w:val="00D33E3B"/>
    <w:rsid w:val="00D35182"/>
    <w:rsid w:val="00D35A11"/>
    <w:rsid w:val="00D41218"/>
    <w:rsid w:val="00D676AE"/>
    <w:rsid w:val="00D77E75"/>
    <w:rsid w:val="00D81514"/>
    <w:rsid w:val="00D94BC7"/>
    <w:rsid w:val="00D96179"/>
    <w:rsid w:val="00D97C8E"/>
    <w:rsid w:val="00DA20C7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2909"/>
    <w:rsid w:val="00E56320"/>
    <w:rsid w:val="00E765AE"/>
    <w:rsid w:val="00E76C00"/>
    <w:rsid w:val="00E77550"/>
    <w:rsid w:val="00E9281E"/>
    <w:rsid w:val="00E93F6A"/>
    <w:rsid w:val="00E979B7"/>
    <w:rsid w:val="00EC79C2"/>
    <w:rsid w:val="00ED178D"/>
    <w:rsid w:val="00EE2F1B"/>
    <w:rsid w:val="00EE4830"/>
    <w:rsid w:val="00EF579C"/>
    <w:rsid w:val="00F022E9"/>
    <w:rsid w:val="00F044C1"/>
    <w:rsid w:val="00F06354"/>
    <w:rsid w:val="00F06FBD"/>
    <w:rsid w:val="00F168A5"/>
    <w:rsid w:val="00F17838"/>
    <w:rsid w:val="00F21DF5"/>
    <w:rsid w:val="00F40663"/>
    <w:rsid w:val="00F43911"/>
    <w:rsid w:val="00F460A6"/>
    <w:rsid w:val="00F5152F"/>
    <w:rsid w:val="00F54796"/>
    <w:rsid w:val="00F60F12"/>
    <w:rsid w:val="00F60F1B"/>
    <w:rsid w:val="00F6527D"/>
    <w:rsid w:val="00F7350C"/>
    <w:rsid w:val="00F7421E"/>
    <w:rsid w:val="00F95566"/>
    <w:rsid w:val="00FA228B"/>
    <w:rsid w:val="00FB118C"/>
    <w:rsid w:val="00FD1263"/>
    <w:rsid w:val="00FE6126"/>
    <w:rsid w:val="00FE6166"/>
    <w:rsid w:val="00FF23A3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04D23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Dianne Mason</cp:lastModifiedBy>
  <cp:revision>16</cp:revision>
  <cp:lastPrinted>2021-06-16T19:09:00Z</cp:lastPrinted>
  <dcterms:created xsi:type="dcterms:W3CDTF">2021-06-16T18:55:00Z</dcterms:created>
  <dcterms:modified xsi:type="dcterms:W3CDTF">2021-06-18T17:48:00Z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