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2506" w14:textId="079C5423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  <w:r w:rsidR="00EE4830"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4A2933B6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1220E4">
        <w:rPr>
          <w:rFonts w:asciiTheme="minorHAnsi" w:hAnsiTheme="minorHAnsi"/>
          <w:b/>
          <w:sz w:val="23"/>
          <w:szCs w:val="23"/>
          <w:u w:val="single"/>
        </w:rPr>
        <w:t>D.6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4C7F948C" w:rsidR="00E7345E" w:rsidRPr="00E7345E" w:rsidRDefault="00D1125E" w:rsidP="0020414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  <w:r w:rsidRPr="00E7345E">
              <w:rPr>
                <w:rFonts w:asciiTheme="minorHAnsi" w:hAnsiTheme="minorHAnsi"/>
                <w:b/>
                <w:sz w:val="23"/>
                <w:szCs w:val="23"/>
              </w:rPr>
              <w:t>St. Albert Annexation Report on Negotiations Endorsement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57F2ECF0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bookmarkStart w:id="6" w:name="_Hlk56602460"/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</w:t>
            </w:r>
            <w:r w:rsidR="00DD5160">
              <w:rPr>
                <w:rFonts w:asciiTheme="minorHAnsi" w:hAnsiTheme="minorHAnsi"/>
                <w:b/>
                <w:sz w:val="23"/>
                <w:szCs w:val="23"/>
              </w:rPr>
              <w:t>o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ti</w:t>
            </w:r>
            <w:r w:rsidR="00DD5160">
              <w:rPr>
                <w:rFonts w:asciiTheme="minorHAnsi" w:hAnsiTheme="minorHAnsi"/>
                <w:b/>
                <w:sz w:val="23"/>
                <w:szCs w:val="23"/>
              </w:rPr>
              <w:t>o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6CA2089" w14:textId="599EA9D5" w:rsidR="00FA228B" w:rsidRPr="00DA7205" w:rsidRDefault="00D1125E" w:rsidP="00DA7205">
            <w:pPr>
              <w:pStyle w:val="BodyText"/>
              <w:numPr>
                <w:ilvl w:val="0"/>
                <w:numId w:val="24"/>
              </w:numPr>
              <w:tabs>
                <w:tab w:val="right" w:pos="5016"/>
              </w:tabs>
              <w:spacing w:after="0" w:line="240" w:lineRule="auto"/>
              <w:ind w:left="361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DA7205">
              <w:rPr>
                <w:rFonts w:asciiTheme="minorHAnsi" w:hAnsiTheme="minorHAnsi" w:cs="Arial"/>
                <w:sz w:val="23"/>
                <w:szCs w:val="23"/>
              </w:rPr>
              <w:t>That Council accept the City of St. Albert’s Annexation Report on Negotiations as information and authorize the C</w:t>
            </w:r>
            <w:r w:rsidR="007075CB" w:rsidRPr="00DA7205">
              <w:rPr>
                <w:rFonts w:asciiTheme="minorHAnsi" w:hAnsiTheme="minorHAnsi" w:cs="Arial"/>
                <w:sz w:val="23"/>
                <w:szCs w:val="23"/>
              </w:rPr>
              <w:t>hief Administrative Officer</w:t>
            </w:r>
            <w:r w:rsidRPr="00DA7205">
              <w:rPr>
                <w:rFonts w:asciiTheme="minorHAnsi" w:hAnsiTheme="minorHAnsi" w:cs="Arial"/>
                <w:sz w:val="23"/>
                <w:szCs w:val="23"/>
              </w:rPr>
              <w:t xml:space="preserve"> to sign the associated Certificate of the Report on Negotiations</w:t>
            </w:r>
            <w:r w:rsidR="002E5E57" w:rsidRPr="00DA7205">
              <w:rPr>
                <w:rFonts w:asciiTheme="minorHAnsi" w:hAnsiTheme="minorHAnsi" w:cs="Arial"/>
                <w:sz w:val="23"/>
                <w:szCs w:val="23"/>
              </w:rPr>
              <w:t>, provided as an attachment to the November 24, 2020 Request for Decision.</w:t>
            </w:r>
          </w:p>
          <w:p w14:paraId="08C9D1AD" w14:textId="77777777" w:rsidR="00DA7205" w:rsidRPr="00DA7205" w:rsidRDefault="00DA7205" w:rsidP="00DA7205">
            <w:pPr>
              <w:pStyle w:val="BodyText"/>
              <w:tabs>
                <w:tab w:val="right" w:pos="5016"/>
              </w:tabs>
              <w:spacing w:after="0" w:line="240" w:lineRule="auto"/>
              <w:ind w:left="361" w:right="0"/>
              <w:rPr>
                <w:rFonts w:asciiTheme="minorHAnsi" w:hAnsiTheme="minorHAnsi" w:cs="Arial"/>
                <w:sz w:val="23"/>
                <w:szCs w:val="23"/>
              </w:rPr>
            </w:pPr>
          </w:p>
          <w:p w14:paraId="0DA18070" w14:textId="151ACE2E" w:rsidR="00DA7205" w:rsidRPr="00DA7205" w:rsidRDefault="00DA7205" w:rsidP="00DA7205">
            <w:pPr>
              <w:pStyle w:val="BodyText"/>
              <w:numPr>
                <w:ilvl w:val="0"/>
                <w:numId w:val="24"/>
              </w:numPr>
              <w:tabs>
                <w:tab w:val="right" w:pos="5016"/>
              </w:tabs>
              <w:spacing w:after="0" w:line="240" w:lineRule="auto"/>
              <w:ind w:left="361" w:right="0"/>
              <w:rPr>
                <w:rFonts w:asciiTheme="minorHAnsi" w:hAnsiTheme="minorHAnsi"/>
                <w:sz w:val="23"/>
                <w:szCs w:val="23"/>
              </w:rPr>
            </w:pPr>
            <w:r w:rsidRPr="00DA7205">
              <w:rPr>
                <w:rFonts w:ascii="Calibri" w:hAnsi="Calibri" w:cs="Calibri"/>
                <w:sz w:val="23"/>
                <w:szCs w:val="23"/>
                <w:lang w:val="en-CA"/>
              </w:rPr>
              <w:t xml:space="preserve">That Attachment 2 of item </w:t>
            </w:r>
            <w:r w:rsidR="001220E4">
              <w:rPr>
                <w:rFonts w:ascii="Calibri" w:hAnsi="Calibri" w:cs="Calibri"/>
                <w:sz w:val="23"/>
                <w:szCs w:val="23"/>
                <w:lang w:val="en-CA"/>
              </w:rPr>
              <w:t>D.6</w:t>
            </w:r>
            <w:r w:rsidRPr="00DA7205">
              <w:rPr>
                <w:rFonts w:ascii="Calibri" w:hAnsi="Calibri" w:cs="Calibri"/>
                <w:sz w:val="23"/>
                <w:szCs w:val="23"/>
                <w:lang w:val="en-CA"/>
              </w:rPr>
              <w:t xml:space="preserve"> of the November 24, 2020 Regular Council meeting agenda remain confidential pursuant to section 24 (advice from officials) of the </w:t>
            </w:r>
            <w:r w:rsidRPr="00DA7205">
              <w:rPr>
                <w:rFonts w:ascii="Calibri" w:hAnsi="Calibri" w:cs="Calibri"/>
                <w:i/>
                <w:iCs/>
                <w:sz w:val="23"/>
                <w:szCs w:val="23"/>
                <w:lang w:val="en-CA"/>
              </w:rPr>
              <w:t>Freedom of Information and Protection of Privacy Act</w:t>
            </w:r>
            <w:r w:rsidRPr="00DA7205">
              <w:rPr>
                <w:rFonts w:ascii="Calibri" w:hAnsi="Calibri" w:cs="Calibri"/>
                <w:sz w:val="23"/>
                <w:szCs w:val="23"/>
                <w:lang w:val="en-CA"/>
              </w:rPr>
              <w:t>.</w:t>
            </w:r>
          </w:p>
        </w:tc>
      </w:tr>
      <w:bookmarkEnd w:id="6"/>
      <w:tr w:rsidR="00546220" w:rsidRPr="00995A98" w14:paraId="6F333AD0" w14:textId="77777777" w:rsidTr="00DD5160">
        <w:trPr>
          <w:trHeight w:val="55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DD51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DA7205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C65297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0B7B2CEA" w:rsidR="00D237DC" w:rsidRPr="00995A98" w:rsidRDefault="00DD5160" w:rsidP="0020414F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recommends that Council </w:t>
            </w:r>
            <w:r w:rsidR="00A26DA4">
              <w:rPr>
                <w:rFonts w:asciiTheme="minorHAnsi" w:hAnsiTheme="minorHAnsi" w:cs="Arial"/>
                <w:sz w:val="23"/>
                <w:szCs w:val="23"/>
              </w:rPr>
              <w:t xml:space="preserve">accept the Annexation Report on Negotiations as information. Administration additionally recommends that Council </w:t>
            </w:r>
            <w:r w:rsidR="00327F4B">
              <w:rPr>
                <w:rFonts w:asciiTheme="minorHAnsi" w:hAnsiTheme="minorHAnsi" w:cs="Arial"/>
                <w:sz w:val="23"/>
                <w:szCs w:val="23"/>
              </w:rPr>
              <w:t>authorize th</w:t>
            </w:r>
            <w:r w:rsidR="00A26DA4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="007075CB">
              <w:rPr>
                <w:rFonts w:asciiTheme="minorHAnsi" w:hAnsiTheme="minorHAnsi" w:cs="Arial"/>
                <w:sz w:val="23"/>
                <w:szCs w:val="23"/>
              </w:rPr>
              <w:t xml:space="preserve"> Chief Administrative Officer</w:t>
            </w:r>
            <w:r w:rsidR="00A26DA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7075CB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327F4B">
              <w:rPr>
                <w:rFonts w:asciiTheme="minorHAnsi" w:hAnsiTheme="minorHAnsi" w:cs="Arial"/>
                <w:sz w:val="23"/>
                <w:szCs w:val="23"/>
              </w:rPr>
              <w:t>CAO</w:t>
            </w:r>
            <w:r w:rsidR="007075CB">
              <w:rPr>
                <w:rFonts w:asciiTheme="minorHAnsi" w:hAnsiTheme="minorHAnsi" w:cs="Arial"/>
                <w:sz w:val="23"/>
                <w:szCs w:val="23"/>
              </w:rPr>
              <w:t>)</w:t>
            </w:r>
            <w:r w:rsidR="00327F4B">
              <w:rPr>
                <w:rFonts w:asciiTheme="minorHAnsi" w:hAnsiTheme="minorHAnsi" w:cs="Arial"/>
                <w:sz w:val="23"/>
                <w:szCs w:val="23"/>
              </w:rPr>
              <w:t xml:space="preserve"> to sign the </w:t>
            </w:r>
            <w:r w:rsidR="00A26DA4">
              <w:rPr>
                <w:rFonts w:asciiTheme="minorHAnsi" w:hAnsiTheme="minorHAnsi" w:cs="Arial"/>
                <w:sz w:val="23"/>
                <w:szCs w:val="23"/>
              </w:rPr>
              <w:t xml:space="preserve">associated </w:t>
            </w:r>
            <w:r w:rsidR="00A26DA4" w:rsidRPr="00A26DA4">
              <w:rPr>
                <w:rFonts w:asciiTheme="minorHAnsi" w:hAnsiTheme="minorHAnsi" w:cs="Arial"/>
                <w:sz w:val="23"/>
                <w:szCs w:val="23"/>
              </w:rPr>
              <w:t>Certificate of the Report on Negotiations</w:t>
            </w:r>
            <w:r w:rsidR="00FB68F9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="00A26DA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995A98" w:rsidRPr="00995A98" w14:paraId="6FB7CCF7" w14:textId="77777777" w:rsidTr="00C65297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A0E6732" w14:textId="77777777" w:rsidR="00A3684A" w:rsidRPr="00A3684A" w:rsidRDefault="00DD5160" w:rsidP="00414F0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A3684A">
              <w:rPr>
                <w:rFonts w:asciiTheme="minorHAnsi" w:hAnsiTheme="minorHAnsi" w:cs="Arial"/>
                <w:sz w:val="23"/>
                <w:szCs w:val="23"/>
                <w:u w:val="single"/>
              </w:rPr>
              <w:t xml:space="preserve">September 22, 2020 </w:t>
            </w:r>
            <w:r w:rsidR="00A3684A" w:rsidRPr="00A3684A">
              <w:rPr>
                <w:rFonts w:asciiTheme="minorHAnsi" w:hAnsiTheme="minorHAnsi" w:cs="Arial"/>
                <w:sz w:val="23"/>
                <w:szCs w:val="23"/>
                <w:u w:val="single"/>
              </w:rPr>
              <w:t>Regular Council Meeting</w:t>
            </w:r>
          </w:p>
          <w:p w14:paraId="5F350039" w14:textId="50493732" w:rsidR="00DD5160" w:rsidRPr="00DD5160" w:rsidRDefault="00DD5160" w:rsidP="00A3684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Motion</w:t>
            </w:r>
            <w:r w:rsidR="00AB4F43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AB4F43" w:rsidRPr="00AB4F43">
              <w:rPr>
                <w:rFonts w:asciiTheme="minorHAnsi" w:hAnsiTheme="minorHAnsi" w:cs="Arial"/>
                <w:sz w:val="23"/>
                <w:szCs w:val="23"/>
              </w:rPr>
              <w:t>438</w:t>
            </w:r>
            <w:r w:rsidRPr="00AB4F43">
              <w:rPr>
                <w:rFonts w:asciiTheme="minorHAnsi" w:hAnsiTheme="minorHAnsi" w:cs="Arial"/>
                <w:sz w:val="23"/>
                <w:szCs w:val="23"/>
              </w:rPr>
              <w:t>/20:</w:t>
            </w:r>
            <w:r w:rsidR="00A3684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DD5160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That Council authorize the Mayor and Chief Administrative Officer to sign the negotiated St. Albert Annexation Agreement, provided as an attachment to the September 22, 2020 Request for Decision.</w:t>
            </w:r>
          </w:p>
          <w:p w14:paraId="0F567230" w14:textId="77777777" w:rsidR="00DD5160" w:rsidRPr="00DE386A" w:rsidRDefault="00DD5160" w:rsidP="00DD5160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</w:p>
          <w:p w14:paraId="2D09C027" w14:textId="77777777" w:rsidR="00A3684A" w:rsidRPr="00A3684A" w:rsidRDefault="00DD5160" w:rsidP="00DD51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  <w:lang w:val="en-CA"/>
              </w:rPr>
            </w:pPr>
            <w:r w:rsidRPr="00A3684A">
              <w:rPr>
                <w:rFonts w:asciiTheme="minorHAnsi" w:hAnsiTheme="minorHAnsi" w:cstheme="minorHAnsi"/>
                <w:sz w:val="23"/>
                <w:szCs w:val="23"/>
                <w:u w:val="single"/>
                <w:lang w:val="en-CA"/>
              </w:rPr>
              <w:t>September 22, 2020</w:t>
            </w:r>
            <w:r w:rsidR="00A3684A" w:rsidRPr="00A3684A">
              <w:rPr>
                <w:rFonts w:asciiTheme="minorHAnsi" w:hAnsiTheme="minorHAnsi" w:cstheme="minorHAnsi"/>
                <w:sz w:val="23"/>
                <w:szCs w:val="23"/>
                <w:u w:val="single"/>
                <w:lang w:val="en-CA"/>
              </w:rPr>
              <w:t xml:space="preserve"> Regular Council Meeting</w:t>
            </w:r>
          </w:p>
          <w:p w14:paraId="61BE5515" w14:textId="1FCB0D05" w:rsidR="00FF23A3" w:rsidRPr="00DD5160" w:rsidRDefault="00DD5160" w:rsidP="00A3684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Motion </w:t>
            </w:r>
            <w:r w:rsidR="00AB4F43" w:rsidRPr="00AB4F43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439</w:t>
            </w:r>
            <w:r w:rsidRPr="00AB4F43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/20:</w:t>
            </w:r>
            <w:r w:rsidR="00A3684A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That Council direct Administration to engage with the City of St. Albert regarding continued communications and support to residents whose lands are subject to annexation.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3EF6666" w14:textId="77777777" w:rsidR="00B1304C" w:rsidRPr="00995A98" w:rsidRDefault="00B1304C" w:rsidP="0054622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7D457548" w14:textId="6B8C046D" w:rsidR="00A26DA4" w:rsidRDefault="00A26DA4" w:rsidP="00A26DA4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As part of the annexation application</w:t>
            </w:r>
            <w:r w:rsidR="005147D3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the City of St. Albert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 xml:space="preserve">(the City) 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 xml:space="preserve">is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submitting </w:t>
            </w:r>
            <w:r w:rsidR="005147D3">
              <w:rPr>
                <w:rFonts w:asciiTheme="minorHAnsi" w:hAnsiTheme="minorHAnsi" w:cstheme="minorHAnsi"/>
                <w:sz w:val="23"/>
                <w:szCs w:val="23"/>
              </w:rPr>
              <w:t xml:space="preserve">a negotiation report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to the Municipal Government Board (MGB)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 xml:space="preserve">. This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 xml:space="preserve">document, </w:t>
            </w:r>
            <w:r w:rsidR="00B64309">
              <w:rPr>
                <w:rFonts w:asciiTheme="minorHAnsi" w:hAnsiTheme="minorHAnsi" w:cstheme="minorHAnsi"/>
                <w:sz w:val="23"/>
                <w:szCs w:val="23"/>
              </w:rPr>
              <w:t xml:space="preserve">which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is </w:t>
            </w:r>
            <w:r w:rsidR="00B64309">
              <w:rPr>
                <w:rFonts w:asciiTheme="minorHAnsi" w:hAnsiTheme="minorHAnsi" w:cstheme="minorHAnsi"/>
                <w:sz w:val="23"/>
                <w:szCs w:val="23"/>
              </w:rPr>
              <w:t xml:space="preserve">approximately 750-pages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in leng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 xml:space="preserve">th, 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 xml:space="preserve">includes a certificate requiring the signature of Sturgeon County’s </w:t>
            </w:r>
            <w:r w:rsidR="00641632">
              <w:rPr>
                <w:rFonts w:asciiTheme="minorHAnsi" w:hAnsiTheme="minorHAnsi" w:cstheme="minorHAnsi"/>
                <w:sz w:val="23"/>
                <w:szCs w:val="23"/>
              </w:rPr>
              <w:t>Chief Administrative Officer (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>CAO</w:t>
            </w:r>
            <w:r w:rsidR="00641632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>, indicating the County</w:t>
            </w:r>
            <w:r w:rsidR="00522563" w:rsidRPr="002E5E5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2E5E57" w:rsidRPr="002E5E57">
              <w:rPr>
                <w:rFonts w:asciiTheme="minorHAnsi" w:hAnsiTheme="minorHAnsi" w:cstheme="minorHAnsi"/>
                <w:sz w:val="23"/>
                <w:szCs w:val="23"/>
              </w:rPr>
              <w:t>confirms</w:t>
            </w:r>
            <w:r w:rsidR="00522563" w:rsidRPr="002E5E57">
              <w:rPr>
                <w:rFonts w:asciiTheme="minorHAnsi" w:hAnsiTheme="minorHAnsi" w:cstheme="minorHAnsi"/>
                <w:sz w:val="23"/>
                <w:szCs w:val="23"/>
              </w:rPr>
              <w:t xml:space="preserve"> the report </w:t>
            </w:r>
            <w:r w:rsidR="00522563" w:rsidRPr="00522563">
              <w:rPr>
                <w:rFonts w:asciiTheme="minorHAnsi" w:hAnsiTheme="minorHAnsi" w:cstheme="minorHAnsi"/>
                <w:sz w:val="23"/>
                <w:szCs w:val="23"/>
              </w:rPr>
              <w:t>accurately reflect the results of negotiations with respect to the annexation</w:t>
            </w:r>
            <w:r w:rsidR="00522563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  <w:p w14:paraId="6715534F" w14:textId="5F56BB96" w:rsidR="007C7966" w:rsidRDefault="00B810B0" w:rsidP="00B810B0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The</w:t>
            </w:r>
            <w:r w:rsidR="007C7966">
              <w:rPr>
                <w:rFonts w:asciiTheme="minorHAnsi" w:hAnsiTheme="minorHAnsi" w:cstheme="minorHAnsi"/>
                <w:sz w:val="23"/>
                <w:szCs w:val="23"/>
              </w:rPr>
              <w:t xml:space="preserve"> full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Negotiation Report has been saved in </w:t>
            </w:r>
            <w:r w:rsidR="00B131F2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Council Secure Content Locker for Council review</w:t>
            </w:r>
            <w:r w:rsidR="007C796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E4345C2" w14:textId="4EBBC703" w:rsidR="00B810B0" w:rsidRPr="00B810B0" w:rsidRDefault="007C7966" w:rsidP="00B810B0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B810B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portion</w:t>
            </w:r>
            <w:r w:rsidR="00B810B0">
              <w:rPr>
                <w:rFonts w:asciiTheme="minorHAnsi" w:hAnsiTheme="minorHAnsi" w:cstheme="minorHAnsi"/>
                <w:sz w:val="23"/>
                <w:szCs w:val="23"/>
              </w:rPr>
              <w:t xml:space="preserve"> of the Negotiation Report has been attached to this RFD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outlining the negotiation and consultation process details </w:t>
            </w:r>
            <w:r w:rsidR="00B810B0">
              <w:rPr>
                <w:rFonts w:asciiTheme="minorHAnsi" w:hAnsiTheme="minorHAnsi" w:cstheme="minorHAnsi"/>
                <w:sz w:val="23"/>
                <w:szCs w:val="23"/>
              </w:rPr>
              <w:t xml:space="preserve">(see </w:t>
            </w:r>
            <w:r w:rsidR="00B810B0" w:rsidRPr="00B810B0">
              <w:rPr>
                <w:rFonts w:asciiTheme="minorHAnsi" w:hAnsiTheme="minorHAnsi" w:cstheme="minorHAnsi"/>
                <w:sz w:val="23"/>
                <w:szCs w:val="23"/>
              </w:rPr>
              <w:t>CONFIDENTIAL Attachment 2 – Negotiation Report – Appendix “N” and Appendix “P”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B810B0" w:rsidRPr="00B810B0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The City of St. Albert has requested this report remain confidential</w:t>
            </w:r>
            <w:r w:rsidR="00B131F2">
              <w:rPr>
                <w:rFonts w:asciiTheme="minorHAnsi" w:hAnsiTheme="minorHAnsi" w:cstheme="minorHAnsi"/>
                <w:sz w:val="23"/>
                <w:szCs w:val="23"/>
              </w:rPr>
              <w:t>. 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herefore, should Council wish to discuss specific elements of the report, a motion to move into closed session should be raised.</w:t>
            </w:r>
          </w:p>
          <w:p w14:paraId="076FD15F" w14:textId="66F1AC77" w:rsidR="00522563" w:rsidRDefault="00522563" w:rsidP="00522563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Section 118 of the </w:t>
            </w:r>
            <w:r w:rsidRPr="00522563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Municipal Government Act</w:t>
            </w: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outlines mandatory provisions the City must address in a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egotiation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eport. </w:t>
            </w:r>
            <w:r w:rsidR="006104DD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>equirements include</w:t>
            </w:r>
            <w:r w:rsidR="006104D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description of the 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 xml:space="preserve">results of the negotiations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>with a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 xml:space="preserve"> list of the matters agreed on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>between the two municipal authorities (and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>if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 xml:space="preserve"> there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>are matters in which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 xml:space="preserve"> no agreement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 could be reached).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The report must also include a </w:t>
            </w:r>
            <w:r w:rsidR="009C0A71" w:rsidRPr="009C0A71">
              <w:rPr>
                <w:rFonts w:asciiTheme="minorHAnsi" w:hAnsiTheme="minorHAnsi" w:cstheme="minorHAnsi"/>
                <w:sz w:val="23"/>
                <w:szCs w:val="23"/>
              </w:rPr>
              <w:t>description of the public consultation processes involved in negotiations and a summary of the views expressed during the public consultation processes</w:t>
            </w:r>
            <w:r w:rsidR="007C796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1253C22F" w14:textId="6F940383" w:rsidR="00DD3E6B" w:rsidRPr="00DD3E6B" w:rsidRDefault="00DD3E6B" w:rsidP="00DD3E6B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 the description of the results of negotiation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with</w:t>
            </w:r>
            <w:r w:rsidR="009F2A04">
              <w:rPr>
                <w:rFonts w:asciiTheme="minorHAnsi" w:hAnsiTheme="minorHAnsi" w:cstheme="minorHAnsi"/>
                <w:sz w:val="23"/>
                <w:szCs w:val="23"/>
              </w:rPr>
              <w:t>in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the Negotiation Report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there are no matters </w:t>
            </w:r>
            <w:r w:rsidR="00565774">
              <w:rPr>
                <w:rFonts w:asciiTheme="minorHAnsi" w:hAnsiTheme="minorHAnsi" w:cstheme="minorHAnsi"/>
                <w:sz w:val="23"/>
                <w:szCs w:val="23"/>
              </w:rPr>
              <w:t xml:space="preserve">listed as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“</w:t>
            </w:r>
            <w:r w:rsidR="00565774" w:rsidRPr="00E7345E">
              <w:rPr>
                <w:rFonts w:asciiTheme="minorHAnsi" w:hAnsiTheme="minorHAnsi" w:cstheme="minorHAnsi"/>
                <w:sz w:val="23"/>
                <w:szCs w:val="23"/>
              </w:rPr>
              <w:t>not agreed to between the City and the County</w:t>
            </w:r>
            <w:r w:rsidR="00565774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”</w:t>
            </w:r>
            <w:r w:rsidR="0056577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However, t</w:t>
            </w:r>
            <w:r w:rsidR="00565774">
              <w:rPr>
                <w:rFonts w:asciiTheme="minorHAnsi" w:hAnsiTheme="minorHAnsi" w:cstheme="minorHAnsi"/>
                <w:sz w:val="23"/>
                <w:szCs w:val="23"/>
              </w:rPr>
              <w:t xml:space="preserve">here are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12 matters listed as agreed to by the County and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City</w:t>
            </w:r>
            <w:r w:rsidRPr="00DD3E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 xml:space="preserve">that </w:t>
            </w:r>
            <w:r w:rsidR="006D7DE6">
              <w:rPr>
                <w:rFonts w:asciiTheme="minorHAnsi" w:hAnsiTheme="minorHAnsi" w:cstheme="minorHAnsi"/>
                <w:sz w:val="23"/>
                <w:szCs w:val="23"/>
              </w:rPr>
              <w:t xml:space="preserve">are </w:t>
            </w:r>
            <w:r w:rsidRPr="00DD3E6B">
              <w:rPr>
                <w:rFonts w:asciiTheme="minorHAnsi" w:hAnsiTheme="minorHAnsi" w:cstheme="minorHAnsi"/>
                <w:sz w:val="23"/>
                <w:szCs w:val="23"/>
              </w:rPr>
              <w:t>not to be included in the annexation order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. S</w:t>
            </w:r>
            <w:r w:rsidR="00B64309">
              <w:rPr>
                <w:rFonts w:asciiTheme="minorHAnsi" w:hAnsiTheme="minorHAnsi" w:cstheme="minorHAnsi"/>
                <w:sz w:val="23"/>
                <w:szCs w:val="23"/>
              </w:rPr>
              <w:t xml:space="preserve">ee page 30 of 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the attached</w:t>
            </w:r>
            <w:r w:rsidR="00B64309">
              <w:rPr>
                <w:rFonts w:asciiTheme="minorHAnsi" w:hAnsiTheme="minorHAnsi" w:cstheme="minorHAnsi"/>
                <w:sz w:val="23"/>
                <w:szCs w:val="23"/>
              </w:rPr>
              <w:t xml:space="preserve"> Negotiation Report</w:t>
            </w:r>
            <w:r w:rsidR="006D7DE6">
              <w:rPr>
                <w:rFonts w:asciiTheme="minorHAnsi" w:hAnsiTheme="minorHAnsi" w:cstheme="minorHAnsi"/>
                <w:sz w:val="23"/>
                <w:szCs w:val="23"/>
              </w:rPr>
              <w:t xml:space="preserve"> excerpt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. O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ther Negotiation Report highlights include:</w:t>
            </w:r>
          </w:p>
          <w:p w14:paraId="4BD251BD" w14:textId="479CA57F" w:rsidR="00DD3E6B" w:rsidRDefault="00C65297" w:rsidP="00DD3E6B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Listing of the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 xml:space="preserve"> 56 individual engagement actions/activities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undertaken 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 xml:space="preserve">as part of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the public consultation process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A2059EE" w14:textId="155654CF" w:rsidR="0037406A" w:rsidRDefault="0037406A" w:rsidP="00DD3E6B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Identif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>ication of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areas of concern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by the public and stakeholders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 including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associated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responses.</w:t>
            </w:r>
          </w:p>
          <w:p w14:paraId="1E258FE3" w14:textId="3911D985" w:rsidR="0037406A" w:rsidRPr="0037406A" w:rsidRDefault="00C65297" w:rsidP="0037406A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 s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>ummary of consent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status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 xml:space="preserve"> from the 249 unique sets of landowners within the annexation area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>(representing 173 parcels of land).</w:t>
            </w:r>
            <w:r w:rsidR="0037406A">
              <w:t xml:space="preserve"> 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 xml:space="preserve">In terms of opposition, the City is aware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that there are land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 xml:space="preserve">owners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from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 xml:space="preserve">three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separate 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>parcels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that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 xml:space="preserve"> may or likely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 xml:space="preserve"> will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 xml:space="preserve"> oppose the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 xml:space="preserve">annexation 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>based on feedback received in November 2019</w:t>
            </w:r>
            <w:r w:rsidR="0037406A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37406A" w:rsidRPr="0037406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1A6C9570" w14:textId="29EF9172" w:rsidR="0037406A" w:rsidRDefault="0037406A" w:rsidP="0037406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Three areas of outstanding concerns, stemming from public engagement, have been identified in the report as requiring additional consideration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. 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he report indicates these matters will be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 addressed in the coming wee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k by the City. Outstanding concerns include:</w:t>
            </w:r>
          </w:p>
          <w:p w14:paraId="52AD9C43" w14:textId="77777777" w:rsidR="0037406A" w:rsidRDefault="0037406A" w:rsidP="0037406A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>mpacts of City-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mplemented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oad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ans on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gricultural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>ands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</w:p>
          <w:p w14:paraId="6950A77B" w14:textId="77777777" w:rsidR="0037406A" w:rsidRDefault="0037406A" w:rsidP="0037406A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Details on u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tility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f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ranchise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f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>ees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 and</w:t>
            </w:r>
          </w:p>
          <w:p w14:paraId="070D0B06" w14:textId="2B6D440D" w:rsidR="0037406A" w:rsidRPr="0037406A" w:rsidRDefault="0037406A" w:rsidP="0037406A">
            <w:pPr>
              <w:pStyle w:val="ListParagraph"/>
              <w:numPr>
                <w:ilvl w:val="1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The potential for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 loss of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ncentives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h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>ome-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>ased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b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usinesses in the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 xml:space="preserve">nnexation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6104DD">
              <w:rPr>
                <w:rFonts w:asciiTheme="minorHAnsi" w:hAnsiTheme="minorHAnsi" w:cstheme="minorHAnsi"/>
                <w:sz w:val="23"/>
                <w:szCs w:val="23"/>
              </w:rPr>
              <w:t>rea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144A2C61" w14:textId="07EFAB48" w:rsidR="00093791" w:rsidRDefault="0037406A" w:rsidP="00A26DA4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093791">
              <w:rPr>
                <w:rFonts w:asciiTheme="minorHAnsi" w:hAnsiTheme="minorHAnsi" w:cstheme="minorHAnsi"/>
                <w:sz w:val="23"/>
                <w:szCs w:val="23"/>
              </w:rPr>
              <w:t xml:space="preserve"> Negotiation Report </w:t>
            </w:r>
            <w:r w:rsidR="006104DD">
              <w:rPr>
                <w:rFonts w:asciiTheme="minorHAnsi" w:hAnsiTheme="minorHAnsi" w:cstheme="minorHAnsi"/>
                <w:sz w:val="23"/>
                <w:szCs w:val="23"/>
              </w:rPr>
              <w:t xml:space="preserve">also </w:t>
            </w:r>
            <w:r w:rsidR="00093791">
              <w:rPr>
                <w:rFonts w:asciiTheme="minorHAnsi" w:hAnsiTheme="minorHAnsi" w:cstheme="minorHAnsi"/>
                <w:sz w:val="23"/>
                <w:szCs w:val="23"/>
              </w:rPr>
              <w:t xml:space="preserve">contains </w:t>
            </w:r>
            <w:r w:rsidR="006104DD">
              <w:rPr>
                <w:rFonts w:asciiTheme="minorHAnsi" w:hAnsiTheme="minorHAnsi" w:cstheme="minorHAnsi"/>
                <w:sz w:val="23"/>
                <w:szCs w:val="23"/>
              </w:rPr>
              <w:t xml:space="preserve">comprehensive information on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all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public consultation process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>es</w:t>
            </w:r>
            <w:r w:rsidR="006104DD">
              <w:rPr>
                <w:rFonts w:asciiTheme="minorHAnsi" w:hAnsiTheme="minorHAnsi" w:cstheme="minorHAnsi"/>
                <w:sz w:val="23"/>
                <w:szCs w:val="23"/>
              </w:rPr>
              <w:t xml:space="preserve"> and associated materials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 such as</w:t>
            </w:r>
            <w:r w:rsidR="00093791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14:paraId="34802FE2" w14:textId="5E463570" w:rsidR="00093791" w:rsidRDefault="00093791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Media Content and News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Releases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52AF5AEA" w14:textId="467CF536" w:rsidR="00093791" w:rsidRDefault="00093791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Frequently Asked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Questions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1BD4C53E" w14:textId="42D7E532" w:rsidR="00093791" w:rsidRDefault="00093791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Annexation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Newsletters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0F66E7D0" w14:textId="6F807B10" w:rsidR="00093791" w:rsidRDefault="00093791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2018 Open House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Content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1F0A16EB" w14:textId="2EFE1517" w:rsidR="00093791" w:rsidRDefault="00C317D0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2019 Interviews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Content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06E3091A" w14:textId="647BEBFE" w:rsidR="00C317D0" w:rsidRDefault="00C317D0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2019 Open House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Content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04DF4C46" w14:textId="01196AE9" w:rsidR="00C317D0" w:rsidRDefault="00C317D0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2020 Virtual Engagement Events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Content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15BECCEF" w14:textId="472714E2" w:rsidR="00C317D0" w:rsidRDefault="00C317D0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City’s Annexation Website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Content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proofErr w:type="gramEnd"/>
          </w:p>
          <w:p w14:paraId="51BD5F9B" w14:textId="38EE30C3" w:rsidR="00C317D0" w:rsidRDefault="00C046D1" w:rsidP="00E7345E">
            <w:pPr>
              <w:pStyle w:val="ListParagraph"/>
              <w:numPr>
                <w:ilvl w:val="1"/>
                <w:numId w:val="20"/>
              </w:numPr>
              <w:spacing w:after="6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Correspondence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; and</w:t>
            </w:r>
          </w:p>
          <w:p w14:paraId="2BAFC4A0" w14:textId="24D17BA3" w:rsidR="00C046D1" w:rsidRDefault="00C046D1" w:rsidP="00E7345E">
            <w:pPr>
              <w:pStyle w:val="ListParagraph"/>
              <w:numPr>
                <w:ilvl w:val="1"/>
                <w:numId w:val="20"/>
              </w:numPr>
              <w:spacing w:after="12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Stakeholder Engagement Content</w:t>
            </w:r>
            <w:r w:rsidR="00E7345E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5A35A7D0" w14:textId="00A2375F" w:rsidR="00C65297" w:rsidRPr="00C65297" w:rsidRDefault="00C65297" w:rsidP="00C65297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DC0A5C">
              <w:rPr>
                <w:rFonts w:asciiTheme="minorHAnsi" w:hAnsiTheme="minorHAnsi" w:cstheme="minorHAnsi"/>
                <w:sz w:val="23"/>
                <w:szCs w:val="23"/>
              </w:rPr>
              <w:t>Prior to submission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of required application materials to the MGB, the City may make </w:t>
            </w:r>
            <w:r w:rsidRPr="006C7DFE">
              <w:rPr>
                <w:rFonts w:asciiTheme="minorHAnsi" w:hAnsiTheme="minorHAnsi" w:cstheme="minorHAnsi"/>
                <w:sz w:val="23"/>
                <w:szCs w:val="23"/>
              </w:rPr>
              <w:t>final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(non-substantive) adjustments to its</w:t>
            </w:r>
            <w:r w:rsidRPr="006C7DFE">
              <w:rPr>
                <w:rFonts w:asciiTheme="minorHAnsi" w:hAnsiTheme="minorHAnsi" w:cstheme="minorHAnsi"/>
                <w:sz w:val="23"/>
                <w:szCs w:val="23"/>
              </w:rPr>
              <w:t xml:space="preserve"> annexation application repo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6C7DFE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(s)</w:t>
            </w:r>
            <w:r w:rsidRPr="006C7DFE">
              <w:rPr>
                <w:rFonts w:asciiTheme="minorHAnsi" w:hAnsiTheme="minorHAnsi" w:cstheme="minorHAnsi"/>
                <w:sz w:val="23"/>
                <w:szCs w:val="23"/>
              </w:rPr>
              <w:t>/package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; this would be done in consultation with County officials. It is expected that the City’s </w:t>
            </w:r>
            <w:r w:rsidRPr="006C7DFE">
              <w:rPr>
                <w:rFonts w:asciiTheme="minorHAnsi" w:hAnsiTheme="minorHAnsi" w:cstheme="minorHAnsi"/>
                <w:sz w:val="23"/>
                <w:szCs w:val="23"/>
              </w:rPr>
              <w:t>MGB 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ubmission will be finalized in early December 2020</w:t>
            </w:r>
            <w:r w:rsidRPr="006C7DFE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641F9826" w14:textId="44D88256" w:rsidR="00A26DA4" w:rsidRPr="00A26DA4" w:rsidRDefault="009C0A71" w:rsidP="00A26DA4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Negotiations between the City and the County have been ongoing for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 xml:space="preserve">nearly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three</w:t>
            </w:r>
            <w:r w:rsidR="009F2A0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years. At the conclusion o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f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negotiation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in Fall 2020, </w:t>
            </w:r>
            <w:r w:rsidR="002E5E57">
              <w:rPr>
                <w:rFonts w:asciiTheme="minorHAnsi" w:hAnsiTheme="minorHAnsi" w:cstheme="minorHAnsi"/>
                <w:sz w:val="23"/>
                <w:szCs w:val="23"/>
              </w:rPr>
              <w:t>membership of the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County’s 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Annexation Negotiation Committee included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Mayor Hnatiw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, Deputy Mayor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Toms, and </w:t>
            </w:r>
            <w:proofErr w:type="spellStart"/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>Councillor</w:t>
            </w:r>
            <w:proofErr w:type="spellEnd"/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Bokenfohr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 xml:space="preserve"> (who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also serve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as Vice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 xml:space="preserve"> C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>hair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 xml:space="preserve"> The Committee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receive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>dministrative support from the CAO</w:t>
            </w:r>
            <w:r w:rsidR="00641632">
              <w:rPr>
                <w:rFonts w:asciiTheme="minorHAnsi" w:hAnsiTheme="minorHAnsi" w:cstheme="minorHAnsi"/>
                <w:sz w:val="23"/>
                <w:szCs w:val="23"/>
              </w:rPr>
              <w:t>, Director of Development and Strategic Services,</w:t>
            </w:r>
            <w:r w:rsidR="00A26DA4" w:rsidRPr="001E5778">
              <w:rPr>
                <w:rFonts w:asciiTheme="minorHAnsi" w:hAnsiTheme="minorHAnsi" w:cstheme="minorHAnsi"/>
                <w:sz w:val="23"/>
                <w:szCs w:val="23"/>
              </w:rPr>
              <w:t xml:space="preserve"> and other </w:t>
            </w:r>
            <w:r w:rsidR="00641632">
              <w:rPr>
                <w:rFonts w:asciiTheme="minorHAnsi" w:hAnsiTheme="minorHAnsi" w:cstheme="minorHAnsi"/>
                <w:sz w:val="23"/>
                <w:szCs w:val="23"/>
              </w:rPr>
              <w:t>mem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bers</w:t>
            </w:r>
            <w:r w:rsidR="00641632">
              <w:rPr>
                <w:rFonts w:asciiTheme="minorHAnsi" w:hAnsiTheme="minorHAnsi" w:cstheme="minorHAnsi"/>
                <w:sz w:val="23"/>
                <w:szCs w:val="23"/>
              </w:rPr>
              <w:t xml:space="preserve"> of Administration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32CDF39" w14:textId="43A396B1" w:rsidR="007B1973" w:rsidRPr="00DC0A5C" w:rsidRDefault="00BA22EF" w:rsidP="007B1973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 </w:t>
            </w:r>
            <w:r w:rsidR="00663EE7">
              <w:rPr>
                <w:rFonts w:asciiTheme="minorHAnsi" w:hAnsiTheme="minorHAnsi" w:cstheme="minorHAnsi"/>
                <w:sz w:val="23"/>
                <w:szCs w:val="23"/>
              </w:rPr>
              <w:t xml:space="preserve">February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2017, </w:t>
            </w:r>
            <w:r w:rsidR="007B1973" w:rsidRPr="00AB4FBB">
              <w:rPr>
                <w:rFonts w:asciiTheme="minorHAnsi" w:hAnsiTheme="minorHAnsi" w:cstheme="minorHAnsi"/>
                <w:sz w:val="23"/>
                <w:szCs w:val="23"/>
              </w:rPr>
              <w:t xml:space="preserve">Sturgeon County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and the</w:t>
            </w:r>
            <w:r w:rsidR="007B1973" w:rsidRPr="00AB4FBB">
              <w:rPr>
                <w:rFonts w:asciiTheme="minorHAnsi" w:hAnsiTheme="minorHAnsi" w:cstheme="minorHAnsi"/>
                <w:sz w:val="23"/>
                <w:szCs w:val="23"/>
              </w:rPr>
              <w:t xml:space="preserve"> City of St. Albert </w:t>
            </w:r>
            <w:r w:rsidR="007B1973" w:rsidRPr="00DC0A5C">
              <w:rPr>
                <w:rFonts w:asciiTheme="minorHAnsi" w:hAnsiTheme="minorHAnsi" w:cstheme="minorHAnsi"/>
                <w:sz w:val="23"/>
                <w:szCs w:val="23"/>
              </w:rPr>
              <w:t xml:space="preserve">signed a Memorandum of Agreement (MOA)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as a first step in</w:t>
            </w:r>
            <w:r w:rsidR="007B1973" w:rsidRPr="00DC0A5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63EE7">
              <w:rPr>
                <w:rFonts w:asciiTheme="minorHAnsi" w:hAnsiTheme="minorHAnsi" w:cstheme="minorHAnsi"/>
                <w:sz w:val="23"/>
                <w:szCs w:val="23"/>
              </w:rPr>
              <w:t xml:space="preserve">exploring </w:t>
            </w:r>
            <w:r w:rsidR="007B1973" w:rsidRPr="00DC0A5C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B1973" w:rsidRPr="00DC0A5C">
              <w:rPr>
                <w:rFonts w:asciiTheme="minorHAnsi" w:hAnsiTheme="minorHAnsi" w:cstheme="minorHAnsi"/>
                <w:sz w:val="23"/>
                <w:szCs w:val="23"/>
              </w:rPr>
              <w:t xml:space="preserve">boundary adjustment. The MOA </w:t>
            </w:r>
            <w:r w:rsidR="009D02C9">
              <w:rPr>
                <w:rFonts w:asciiTheme="minorHAnsi" w:hAnsiTheme="minorHAnsi" w:cstheme="minorHAnsi"/>
                <w:sz w:val="23"/>
                <w:szCs w:val="23"/>
              </w:rPr>
              <w:t>acknowledges</w:t>
            </w:r>
            <w:r w:rsidR="007B1973" w:rsidRPr="00DC0A5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63EE7">
              <w:rPr>
                <w:rFonts w:asciiTheme="minorHAnsi" w:hAnsiTheme="minorHAnsi" w:cstheme="minorHAnsi"/>
                <w:sz w:val="23"/>
                <w:szCs w:val="23"/>
              </w:rPr>
              <w:t xml:space="preserve">key annexation principles, including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663EE7">
              <w:rPr>
                <w:rFonts w:asciiTheme="minorHAnsi" w:hAnsiTheme="minorHAnsi" w:cstheme="minorHAnsi"/>
                <w:sz w:val="23"/>
                <w:szCs w:val="23"/>
              </w:rPr>
              <w:t>n agreed upon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B1973" w:rsidRPr="00DC0A5C">
              <w:rPr>
                <w:rFonts w:asciiTheme="minorHAnsi" w:hAnsiTheme="minorHAnsi" w:cstheme="minorHAnsi"/>
                <w:sz w:val="23"/>
                <w:szCs w:val="23"/>
              </w:rPr>
              <w:t>collaborative approac</w:t>
            </w:r>
            <w:r w:rsidR="00663EE7">
              <w:rPr>
                <w:rFonts w:asciiTheme="minorHAnsi" w:hAnsiTheme="minorHAnsi" w:cstheme="minorHAnsi"/>
                <w:sz w:val="23"/>
                <w:szCs w:val="23"/>
              </w:rPr>
              <w:t>h</w:t>
            </w:r>
            <w:r w:rsidR="009D02C9">
              <w:rPr>
                <w:rFonts w:asciiTheme="minorHAnsi" w:hAnsiTheme="minorHAnsi" w:cstheme="minorHAnsi"/>
                <w:sz w:val="23"/>
                <w:szCs w:val="23"/>
              </w:rPr>
              <w:t xml:space="preserve"> consistent with 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>the City and County’s</w:t>
            </w:r>
            <w:r w:rsidR="009D02C9">
              <w:rPr>
                <w:rFonts w:asciiTheme="minorHAnsi" w:hAnsiTheme="minorHAnsi" w:cstheme="minorHAnsi"/>
                <w:sz w:val="23"/>
                <w:szCs w:val="23"/>
              </w:rPr>
              <w:t xml:space="preserve"> Joint Growth Boundary Study conducted in 2016</w:t>
            </w:r>
            <w:r w:rsidR="00663EE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0B94216C" w14:textId="1A215593" w:rsidR="00A3684A" w:rsidRPr="00A3684A" w:rsidRDefault="009D02C9" w:rsidP="007B1973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Negotiations remained ongoing between 2017 and </w:t>
            </w:r>
            <w:r w:rsidR="00A3684A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="009F2A04">
              <w:rPr>
                <w:rFonts w:asciiTheme="minorHAnsi" w:hAnsiTheme="minorHAnsi"/>
                <w:sz w:val="23"/>
                <w:szCs w:val="23"/>
              </w:rPr>
              <w:t>F</w:t>
            </w:r>
            <w:r w:rsidR="00A3684A">
              <w:rPr>
                <w:rFonts w:asciiTheme="minorHAnsi" w:hAnsiTheme="minorHAnsi"/>
                <w:sz w:val="23"/>
                <w:szCs w:val="23"/>
              </w:rPr>
              <w:t xml:space="preserve">all of </w:t>
            </w:r>
            <w:r>
              <w:rPr>
                <w:rFonts w:asciiTheme="minorHAnsi" w:hAnsiTheme="minorHAnsi"/>
                <w:sz w:val="23"/>
                <w:szCs w:val="23"/>
              </w:rPr>
              <w:t>2020</w:t>
            </w:r>
            <w:r w:rsidR="00A3684A">
              <w:rPr>
                <w:rFonts w:asciiTheme="minorHAnsi" w:hAnsiTheme="minorHAnsi"/>
                <w:sz w:val="23"/>
                <w:szCs w:val="23"/>
              </w:rPr>
              <w:t>. T</w:t>
            </w:r>
            <w:r>
              <w:rPr>
                <w:rFonts w:asciiTheme="minorHAnsi" w:hAnsiTheme="minorHAnsi"/>
                <w:sz w:val="23"/>
                <w:szCs w:val="23"/>
              </w:rPr>
              <w:t>his included a rigorous process undertaking complex and technical study review</w:t>
            </w:r>
            <w:r w:rsidR="009F2A04">
              <w:rPr>
                <w:rFonts w:asciiTheme="minorHAnsi" w:hAnsiTheme="minorHAnsi"/>
                <w:sz w:val="23"/>
                <w:szCs w:val="23"/>
              </w:rPr>
              <w:t>s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and evaluations, ad</w:t>
            </w:r>
            <w:r w:rsidR="007B1973">
              <w:rPr>
                <w:rFonts w:asciiTheme="minorHAnsi" w:hAnsiTheme="minorHAnsi"/>
                <w:sz w:val="23"/>
                <w:szCs w:val="23"/>
              </w:rPr>
              <w:t xml:space="preserve">justments to the </w:t>
            </w:r>
            <w:r>
              <w:rPr>
                <w:rFonts w:asciiTheme="minorHAnsi" w:hAnsiTheme="minorHAnsi"/>
                <w:sz w:val="23"/>
                <w:szCs w:val="23"/>
              </w:rPr>
              <w:t>proposed annexation area</w:t>
            </w:r>
            <w:r w:rsidR="007B1973">
              <w:rPr>
                <w:rFonts w:asciiTheme="minorHAnsi" w:hAnsiTheme="minorHAnsi"/>
                <w:sz w:val="23"/>
                <w:szCs w:val="23"/>
              </w:rPr>
              <w:t>, development of transitional policies and supports for residents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living in the proposed annexation area</w:t>
            </w:r>
            <w:r w:rsidR="007B1973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agreement on County </w:t>
            </w:r>
            <w:r w:rsidR="007B1973">
              <w:rPr>
                <w:rFonts w:asciiTheme="minorHAnsi" w:hAnsiTheme="minorHAnsi"/>
                <w:sz w:val="23"/>
                <w:szCs w:val="23"/>
              </w:rPr>
              <w:t xml:space="preserve">compensation, </w:t>
            </w:r>
            <w:r>
              <w:rPr>
                <w:rFonts w:asciiTheme="minorHAnsi" w:hAnsiTheme="minorHAnsi"/>
                <w:sz w:val="23"/>
                <w:szCs w:val="23"/>
              </w:rPr>
              <w:t>establish</w:t>
            </w:r>
            <w:r w:rsidR="002B31B9">
              <w:rPr>
                <w:rFonts w:asciiTheme="minorHAnsi" w:hAnsiTheme="minorHAnsi"/>
                <w:sz w:val="23"/>
                <w:szCs w:val="23"/>
              </w:rPr>
              <w:t>ment of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 framework to address</w:t>
            </w:r>
            <w:r w:rsidR="007B1973">
              <w:rPr>
                <w:rFonts w:asciiTheme="minorHAnsi" w:hAnsiTheme="minorHAnsi"/>
                <w:sz w:val="23"/>
                <w:szCs w:val="23"/>
              </w:rPr>
              <w:t xml:space="preserve"> sub</w:t>
            </w:r>
            <w:r w:rsidR="00A3684A">
              <w:rPr>
                <w:rFonts w:asciiTheme="minorHAnsi" w:hAnsiTheme="minorHAnsi"/>
                <w:sz w:val="23"/>
                <w:szCs w:val="23"/>
              </w:rPr>
              <w:t>-</w:t>
            </w:r>
            <w:r w:rsidR="007B1973">
              <w:rPr>
                <w:rFonts w:asciiTheme="minorHAnsi" w:hAnsiTheme="minorHAnsi"/>
                <w:sz w:val="23"/>
                <w:szCs w:val="23"/>
              </w:rPr>
              <w:t>regional transportation and infrastructure servicing policies</w:t>
            </w:r>
            <w:r>
              <w:rPr>
                <w:rFonts w:asciiTheme="minorHAnsi" w:hAnsiTheme="minorHAnsi"/>
                <w:sz w:val="23"/>
                <w:szCs w:val="23"/>
              </w:rPr>
              <w:t>, and provisions limiting future annexation.</w:t>
            </w:r>
            <w:r w:rsidR="002B31B9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4C896F75" w14:textId="764DF8D8" w:rsidR="007B1973" w:rsidRDefault="00A3684A" w:rsidP="00A26DA4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On </w:t>
            </w:r>
            <w:r w:rsidR="002B31B9">
              <w:rPr>
                <w:rFonts w:asciiTheme="minorHAnsi" w:hAnsiTheme="minorHAnsi"/>
                <w:sz w:val="23"/>
                <w:szCs w:val="23"/>
              </w:rPr>
              <w:t xml:space="preserve">September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22, </w:t>
            </w:r>
            <w:r w:rsidR="002B31B9">
              <w:rPr>
                <w:rFonts w:asciiTheme="minorHAnsi" w:hAnsiTheme="minorHAnsi"/>
                <w:sz w:val="23"/>
                <w:szCs w:val="23"/>
              </w:rPr>
              <w:t>2020, Sturgeon County Council passed a motion endorsing the St. Albert Annexation Agreement</w:t>
            </w:r>
            <w:r w:rsidR="00A26DA4">
              <w:rPr>
                <w:rFonts w:asciiTheme="minorHAnsi" w:hAnsiTheme="minorHAnsi"/>
                <w:sz w:val="23"/>
                <w:szCs w:val="23"/>
              </w:rPr>
              <w:t xml:space="preserve"> (Motion 438/20)</w:t>
            </w:r>
            <w:r w:rsidR="002B31B9">
              <w:rPr>
                <w:rFonts w:asciiTheme="minorHAnsi" w:hAnsiTheme="minorHAnsi"/>
                <w:sz w:val="23"/>
                <w:szCs w:val="23"/>
              </w:rPr>
              <w:t>.</w:t>
            </w:r>
            <w:r w:rsidR="00A26DA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26DA4">
              <w:rPr>
                <w:rFonts w:asciiTheme="minorHAnsi" w:hAnsiTheme="minorHAnsi" w:cstheme="minorHAnsi"/>
                <w:sz w:val="23"/>
                <w:szCs w:val="23"/>
              </w:rPr>
              <w:t xml:space="preserve">As an uncontested annexation, the Annexation Order in Council could become effective as early as January 2022.  </w:t>
            </w:r>
          </w:p>
          <w:p w14:paraId="28506CEF" w14:textId="7B530DDE" w:rsidR="007C7966" w:rsidRDefault="007C7966" w:rsidP="007C7966">
            <w:p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C47EDAB" w14:textId="77777777" w:rsidR="007C7966" w:rsidRPr="007C7966" w:rsidRDefault="007C7966" w:rsidP="007C7966">
            <w:p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6DE06B7" w14:textId="77777777" w:rsidR="00F06FBD" w:rsidRPr="00995A98" w:rsidRDefault="00F06FBD" w:rsidP="00F06FBD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lastRenderedPageBreak/>
              <w:t>External Communication</w:t>
            </w:r>
          </w:p>
          <w:p w14:paraId="1523C26F" w14:textId="7C8F480C" w:rsidR="007B1973" w:rsidRDefault="0037406A" w:rsidP="007B1973">
            <w:pPr>
              <w:pStyle w:val="BodyText"/>
              <w:numPr>
                <w:ilvl w:val="0"/>
                <w:numId w:val="20"/>
              </w:numPr>
              <w:spacing w:after="12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Extensive consultation has occurred with landowners and residents within the annexation area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 xml:space="preserve"> over a three-year </w:t>
            </w:r>
            <w:proofErr w:type="gramStart"/>
            <w:r w:rsidR="00C65297">
              <w:rPr>
                <w:rFonts w:asciiTheme="minorHAnsi" w:hAnsiTheme="minorHAnsi" w:cstheme="minorHAnsi"/>
                <w:sz w:val="23"/>
                <w:szCs w:val="23"/>
              </w:rPr>
              <w:t>time period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>which also included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 xml:space="preserve">comprehensive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public consultation</w:t>
            </w:r>
            <w:r w:rsidR="00C65297">
              <w:rPr>
                <w:rFonts w:asciiTheme="minorHAnsi" w:hAnsiTheme="minorHAnsi" w:cstheme="minorHAnsi"/>
                <w:sz w:val="23"/>
                <w:szCs w:val="23"/>
              </w:rPr>
              <w:t xml:space="preserve"> efforts</w:t>
            </w:r>
            <w:r w:rsidR="009F2A04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D927A59" w14:textId="06CCC7F4" w:rsidR="00734BB1" w:rsidRDefault="00C65297" w:rsidP="007B1973">
            <w:pPr>
              <w:pStyle w:val="BodyText"/>
              <w:numPr>
                <w:ilvl w:val="0"/>
                <w:numId w:val="20"/>
              </w:numPr>
              <w:spacing w:after="12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Communications on the o</w:t>
            </w:r>
            <w:r w:rsidR="00734BB1">
              <w:rPr>
                <w:rFonts w:asciiTheme="minorHAnsi" w:hAnsiTheme="minorHAnsi" w:cstheme="minorHAnsi"/>
                <w:sz w:val="23"/>
                <w:szCs w:val="23"/>
              </w:rPr>
              <w:t xml:space="preserve">utcomes of the broader annexation application submission will be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led</w:t>
            </w:r>
            <w:r w:rsidR="00734BB1">
              <w:rPr>
                <w:rFonts w:asciiTheme="minorHAnsi" w:hAnsiTheme="minorHAnsi" w:cstheme="minorHAnsi"/>
                <w:sz w:val="23"/>
                <w:szCs w:val="23"/>
              </w:rPr>
              <w:t xml:space="preserve"> by </w:t>
            </w:r>
            <w:r w:rsidR="009F2A04">
              <w:rPr>
                <w:rFonts w:asciiTheme="minorHAnsi" w:hAnsiTheme="minorHAnsi" w:cstheme="minorHAnsi"/>
                <w:sz w:val="23"/>
                <w:szCs w:val="23"/>
              </w:rPr>
              <w:t xml:space="preserve">the City of </w:t>
            </w:r>
            <w:r w:rsidR="00734BB1">
              <w:rPr>
                <w:rFonts w:asciiTheme="minorHAnsi" w:hAnsiTheme="minorHAnsi" w:cstheme="minorHAnsi"/>
                <w:sz w:val="23"/>
                <w:szCs w:val="23"/>
              </w:rPr>
              <w:t xml:space="preserve">St. Albert, as the applicant, with input from Sturgeon County. </w:t>
            </w:r>
          </w:p>
          <w:p w14:paraId="1E86F5E6" w14:textId="77777777" w:rsidR="00B1304C" w:rsidRPr="00995A98" w:rsidRDefault="00B1304C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7FA5EA4D" w14:textId="30E176B3" w:rsidR="007B1973" w:rsidRPr="009C0A71" w:rsidRDefault="00522563" w:rsidP="007B1973">
            <w:pPr>
              <w:pStyle w:val="ListParagraph"/>
              <w:numPr>
                <w:ilvl w:val="0"/>
                <w:numId w:val="2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Section 118 </w:t>
            </w:r>
            <w:r w:rsidR="009C0A71">
              <w:rPr>
                <w:rFonts w:asciiTheme="minorHAnsi" w:hAnsiTheme="minorHAnsi" w:cstheme="minorHAnsi"/>
                <w:sz w:val="23"/>
                <w:szCs w:val="23"/>
              </w:rPr>
              <w:t xml:space="preserve">(Report on Negotiations)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of the </w:t>
            </w:r>
            <w:r w:rsidR="007B1973" w:rsidRPr="003B585A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Municipal Government Act</w:t>
            </w:r>
            <w:r w:rsidR="009C0A71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 </w:t>
            </w:r>
          </w:p>
          <w:p w14:paraId="760AF5D5" w14:textId="4199F866" w:rsidR="009C0A71" w:rsidRDefault="009C0A71" w:rsidP="007B1973">
            <w:pPr>
              <w:pStyle w:val="ListParagraph"/>
              <w:numPr>
                <w:ilvl w:val="0"/>
                <w:numId w:val="2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Division 6 (Annexation) of the </w:t>
            </w: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Municipal Government Act</w:t>
            </w:r>
          </w:p>
          <w:p w14:paraId="40B9D89A" w14:textId="65743529" w:rsidR="00892A3C" w:rsidRPr="007B1973" w:rsidRDefault="007B1973" w:rsidP="00414F03">
            <w:pPr>
              <w:pStyle w:val="ListParagraph"/>
              <w:numPr>
                <w:ilvl w:val="0"/>
                <w:numId w:val="2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7B1973">
              <w:rPr>
                <w:rFonts w:asciiTheme="minorHAnsi" w:hAnsiTheme="minorHAnsi" w:cstheme="minorHAnsi"/>
                <w:sz w:val="23"/>
                <w:szCs w:val="23"/>
              </w:rPr>
              <w:t>St. Albert / Sturgeon Memorandum of Agreement</w:t>
            </w:r>
            <w:r w:rsidR="00093791">
              <w:rPr>
                <w:rFonts w:asciiTheme="minorHAnsi" w:hAnsiTheme="minorHAnsi" w:cstheme="minorHAnsi"/>
                <w:sz w:val="23"/>
                <w:szCs w:val="23"/>
              </w:rPr>
              <w:t>, 2017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C65297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9FCD2B0" w14:textId="77777777" w:rsidR="007C7966" w:rsidRPr="007C7966" w:rsidRDefault="007C7966" w:rsidP="007C79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7C7966">
              <w:rPr>
                <w:rFonts w:asciiTheme="minorHAnsi" w:hAnsiTheme="minorHAnsi"/>
                <w:sz w:val="23"/>
                <w:szCs w:val="23"/>
                <w:u w:val="single"/>
              </w:rPr>
              <w:t xml:space="preserve">Strategic Alignment: </w:t>
            </w:r>
          </w:p>
          <w:p w14:paraId="32B4732C" w14:textId="3EEF8B92" w:rsidR="007C7966" w:rsidRDefault="007C7966" w:rsidP="00C04407">
            <w:pPr>
              <w:pStyle w:val="ListParagraph"/>
              <w:numPr>
                <w:ilvl w:val="0"/>
                <w:numId w:val="26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3B585A">
              <w:rPr>
                <w:rFonts w:asciiTheme="minorHAnsi" w:hAnsiTheme="minorHAnsi"/>
                <w:b/>
                <w:sz w:val="23"/>
                <w:szCs w:val="23"/>
              </w:rPr>
              <w:t>Strong Local and Regional Governance –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="00093791" w:rsidRPr="007C7966">
              <w:rPr>
                <w:rFonts w:asciiTheme="minorHAnsi" w:hAnsiTheme="minorHAnsi" w:cs="Arial"/>
                <w:sz w:val="23"/>
                <w:szCs w:val="23"/>
              </w:rPr>
              <w:t>Directing the CAO to sign</w:t>
            </w:r>
            <w:r w:rsidR="00126832" w:rsidRPr="007C7966">
              <w:rPr>
                <w:rFonts w:asciiTheme="minorHAnsi" w:hAnsiTheme="minorHAnsi" w:cs="Arial"/>
                <w:sz w:val="23"/>
                <w:szCs w:val="23"/>
              </w:rPr>
              <w:t xml:space="preserve"> the Certificate of </w:t>
            </w:r>
            <w:r w:rsidR="00D924EB" w:rsidRPr="007C7966">
              <w:rPr>
                <w:rFonts w:asciiTheme="minorHAnsi" w:hAnsiTheme="minorHAnsi" w:cs="Arial"/>
                <w:sz w:val="23"/>
                <w:szCs w:val="23"/>
              </w:rPr>
              <w:t>the Report on Negotiations</w:t>
            </w:r>
            <w:r w:rsidR="00126832" w:rsidRPr="007C7966">
              <w:rPr>
                <w:rFonts w:asciiTheme="minorHAnsi" w:hAnsiTheme="minorHAnsi" w:cs="Arial"/>
                <w:sz w:val="23"/>
                <w:szCs w:val="23"/>
              </w:rPr>
              <w:t xml:space="preserve"> will </w:t>
            </w:r>
            <w:r w:rsidR="00093791" w:rsidRPr="007C7966">
              <w:rPr>
                <w:rFonts w:asciiTheme="minorHAnsi" w:hAnsiTheme="minorHAnsi" w:cs="Arial"/>
                <w:sz w:val="23"/>
                <w:szCs w:val="23"/>
              </w:rPr>
              <w:t>progress the City of St. Albert’s Annexation Application as an uncontested submission</w:t>
            </w:r>
            <w:r w:rsidR="00C65297" w:rsidRPr="007C7966">
              <w:rPr>
                <w:rFonts w:asciiTheme="minorHAnsi" w:hAnsiTheme="minorHAnsi" w:cs="Arial"/>
                <w:sz w:val="23"/>
                <w:szCs w:val="23"/>
              </w:rPr>
              <w:t xml:space="preserve"> to the MGB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, which promotes regional collaboration and strengthens the intermunicipal relationship </w:t>
            </w:r>
            <w:r w:rsidR="00A81213">
              <w:rPr>
                <w:rFonts w:asciiTheme="minorHAnsi" w:hAnsiTheme="minorHAnsi" w:cs="Arial"/>
                <w:sz w:val="23"/>
                <w:szCs w:val="23"/>
              </w:rPr>
              <w:t>between the County and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the City.</w:t>
            </w:r>
          </w:p>
          <w:p w14:paraId="06CA4319" w14:textId="77777777" w:rsidR="003311C2" w:rsidRDefault="003311C2" w:rsidP="003311C2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 w:cs="Arial"/>
                <w:sz w:val="23"/>
                <w:szCs w:val="23"/>
              </w:rPr>
            </w:pPr>
          </w:p>
          <w:p w14:paraId="63DAD7AC" w14:textId="77777777" w:rsidR="00C04407" w:rsidRPr="005971F6" w:rsidRDefault="00C04407" w:rsidP="00C04407">
            <w:pPr>
              <w:pStyle w:val="ListParagraph"/>
              <w:numPr>
                <w:ilvl w:val="0"/>
                <w:numId w:val="26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3B585A">
              <w:rPr>
                <w:rFonts w:asciiTheme="minorHAnsi" w:hAnsiTheme="minorHAnsi"/>
                <w:b/>
                <w:sz w:val="23"/>
                <w:szCs w:val="23"/>
              </w:rPr>
              <w:t>Planned Growth and Prosperity –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 xml:space="preserve"> Protecting and advancing the County’s annexation interests is critical to the County’s long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-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>term planned growth and prosperity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, and to the ongoing success of both municipalities as they grow together.</w:t>
            </w:r>
          </w:p>
          <w:p w14:paraId="181B268A" w14:textId="77777777" w:rsidR="00C04407" w:rsidRPr="00AB4FBB" w:rsidRDefault="00C04407" w:rsidP="00C0440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AB4FBB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7DC1612C" w14:textId="17F4FE63" w:rsidR="00C04407" w:rsidRPr="00C04407" w:rsidRDefault="00C04407" w:rsidP="00C04407">
            <w:pPr>
              <w:pStyle w:val="ListParagraph"/>
              <w:numPr>
                <w:ilvl w:val="0"/>
                <w:numId w:val="26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There is no organizational impact to directing the CAO to sign the </w:t>
            </w:r>
            <w:r w:rsidRPr="00C04407">
              <w:rPr>
                <w:rFonts w:asciiTheme="minorHAnsi" w:hAnsiTheme="minorHAnsi"/>
                <w:bCs/>
                <w:sz w:val="23"/>
                <w:szCs w:val="23"/>
              </w:rPr>
              <w:t>Certificate of the Report on Negotiations.</w:t>
            </w:r>
          </w:p>
          <w:p w14:paraId="3D155971" w14:textId="77150DDA" w:rsidR="00C04407" w:rsidRPr="00C04407" w:rsidRDefault="00C04407" w:rsidP="00C0440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C04407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1BED1DFD" w14:textId="4C5951A0" w:rsidR="00D237DC" w:rsidRPr="007C7966" w:rsidRDefault="00C04407" w:rsidP="00C04407">
            <w:pPr>
              <w:pStyle w:val="ListParagraph"/>
              <w:numPr>
                <w:ilvl w:val="0"/>
                <w:numId w:val="26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Enabling a</w:t>
            </w:r>
            <w:r w:rsidR="00C65297" w:rsidRPr="007C7966">
              <w:rPr>
                <w:rFonts w:asciiTheme="minorHAnsi" w:hAnsiTheme="minorHAnsi" w:cs="Arial"/>
                <w:sz w:val="23"/>
                <w:szCs w:val="23"/>
              </w:rPr>
              <w:t xml:space="preserve">n annexation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to proceed as uncontested </w:t>
            </w:r>
            <w:r w:rsidR="00C65297" w:rsidRPr="007C7966">
              <w:rPr>
                <w:rFonts w:asciiTheme="minorHAnsi" w:hAnsiTheme="minorHAnsi" w:cs="Arial"/>
                <w:sz w:val="23"/>
                <w:szCs w:val="23"/>
              </w:rPr>
              <w:t>will be a less costly and faster process for the County and the City</w:t>
            </w:r>
            <w:r w:rsidR="00E7345E" w:rsidRPr="007C7966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C65297" w:rsidRPr="007C7966">
              <w:rPr>
                <w:rFonts w:asciiTheme="minorHAnsi" w:hAnsiTheme="minorHAnsi" w:cs="Arial"/>
                <w:sz w:val="23"/>
                <w:szCs w:val="23"/>
              </w:rPr>
              <w:t>than a contested annexation.</w:t>
            </w:r>
          </w:p>
        </w:tc>
      </w:tr>
      <w:tr w:rsidR="00995A98" w:rsidRPr="00995A98" w14:paraId="2BCE6B63" w14:textId="77777777" w:rsidTr="00C65297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C65297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6534D4D1" w:rsidR="00D237DC" w:rsidRPr="001B327A" w:rsidRDefault="00D237DC" w:rsidP="001B327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05A16D25" w:rsidR="00D237DC" w:rsidRPr="00995A98" w:rsidRDefault="001B327A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Council could </w:t>
            </w:r>
            <w:r w:rsidR="00D924EB">
              <w:rPr>
                <w:rFonts w:asciiTheme="minorHAnsi" w:hAnsiTheme="minorHAnsi" w:cs="Arial"/>
                <w:sz w:val="23"/>
                <w:szCs w:val="23"/>
              </w:rPr>
              <w:t xml:space="preserve">choose </w:t>
            </w:r>
            <w:r w:rsidR="00093791">
              <w:rPr>
                <w:rFonts w:asciiTheme="minorHAnsi" w:hAnsiTheme="minorHAnsi" w:cs="Arial"/>
                <w:sz w:val="23"/>
                <w:szCs w:val="23"/>
              </w:rPr>
              <w:t>not to direct the CAO to sign the Report on Negotiations Certificate.</w:t>
            </w:r>
            <w:r w:rsidR="00D924E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</w:p>
        </w:tc>
      </w:tr>
      <w:tr w:rsidR="00D237DC" w:rsidRPr="00995A98" w14:paraId="34549706" w14:textId="77777777" w:rsidTr="00C65297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1B327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1B327A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C65297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77777777" w:rsidR="00D237DC" w:rsidRPr="00995A98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32A87C8F" w14:textId="187CCE81" w:rsidR="00B56186" w:rsidRPr="003311C2" w:rsidRDefault="00B56186" w:rsidP="00B56186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rPr>
                <w:rFonts w:asciiTheme="minorHAnsi" w:hAnsiTheme="minorHAnsi"/>
                <w:sz w:val="23"/>
                <w:szCs w:val="23"/>
              </w:rPr>
            </w:pPr>
            <w:r w:rsidRPr="003B585A">
              <w:rPr>
                <w:rFonts w:asciiTheme="minorHAnsi" w:hAnsiTheme="minorHAnsi"/>
                <w:b/>
                <w:sz w:val="23"/>
                <w:szCs w:val="23"/>
              </w:rPr>
              <w:t>Strong Local and Regional Governance –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 xml:space="preserve"> The County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has committed 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>to support a</w:t>
            </w:r>
            <w:r w:rsidR="00A3684A">
              <w:rPr>
                <w:rFonts w:asciiTheme="minorHAnsi" w:hAnsiTheme="minorHAnsi"/>
                <w:bCs/>
                <w:sz w:val="23"/>
                <w:szCs w:val="23"/>
              </w:rPr>
              <w:t>n un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 xml:space="preserve">contested annexation process, which would have 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a 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 xml:space="preserve">positive effect on </w:t>
            </w:r>
            <w:r w:rsidRPr="005D6EC2">
              <w:rPr>
                <w:rFonts w:asciiTheme="minorHAnsi" w:hAnsiTheme="minorHAnsi" w:cstheme="minorHAnsi"/>
                <w:sz w:val="23"/>
                <w:szCs w:val="23"/>
              </w:rPr>
              <w:t>regional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 xml:space="preserve"> governance in addition to 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minimizing </w:t>
            </w:r>
            <w:r w:rsidRPr="00AB4FBB">
              <w:rPr>
                <w:rFonts w:asciiTheme="minorHAnsi" w:hAnsiTheme="minorHAnsi"/>
                <w:bCs/>
                <w:sz w:val="23"/>
                <w:szCs w:val="23"/>
              </w:rPr>
              <w:t>organizational costs and resources.</w:t>
            </w:r>
          </w:p>
          <w:p w14:paraId="070AFC17" w14:textId="5530D5F3" w:rsidR="003311C2" w:rsidRDefault="003311C2" w:rsidP="003311C2">
            <w:pPr>
              <w:spacing w:after="120"/>
              <w:rPr>
                <w:rFonts w:asciiTheme="minorHAnsi" w:hAnsiTheme="minorHAnsi"/>
                <w:sz w:val="23"/>
                <w:szCs w:val="23"/>
              </w:rPr>
            </w:pPr>
          </w:p>
          <w:p w14:paraId="4D8CBE38" w14:textId="2B6A363F" w:rsidR="003311C2" w:rsidRDefault="003311C2" w:rsidP="003311C2">
            <w:pPr>
              <w:spacing w:after="120"/>
              <w:rPr>
                <w:rFonts w:asciiTheme="minorHAnsi" w:hAnsiTheme="minorHAnsi"/>
                <w:sz w:val="23"/>
                <w:szCs w:val="23"/>
              </w:rPr>
            </w:pPr>
          </w:p>
          <w:p w14:paraId="24AFE8CD" w14:textId="77777777" w:rsidR="003311C2" w:rsidRPr="003311C2" w:rsidRDefault="003311C2" w:rsidP="003311C2">
            <w:pPr>
              <w:spacing w:after="120"/>
              <w:rPr>
                <w:rFonts w:asciiTheme="minorHAnsi" w:hAnsiTheme="minorHAnsi"/>
                <w:sz w:val="23"/>
                <w:szCs w:val="23"/>
              </w:rPr>
            </w:pPr>
          </w:p>
          <w:p w14:paraId="394501E8" w14:textId="77777777" w:rsidR="00B56186" w:rsidRPr="00AB4FBB" w:rsidRDefault="00B56186" w:rsidP="00B5618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AB4FBB">
              <w:rPr>
                <w:rFonts w:asciiTheme="minorHAnsi" w:hAnsiTheme="minorHAnsi"/>
                <w:sz w:val="23"/>
                <w:szCs w:val="23"/>
                <w:u w:val="single"/>
              </w:rPr>
              <w:lastRenderedPageBreak/>
              <w:t>Organizational:</w:t>
            </w:r>
          </w:p>
          <w:p w14:paraId="508A2D17" w14:textId="77777777" w:rsidR="00C65297" w:rsidRPr="00C65297" w:rsidRDefault="00734BB1" w:rsidP="00B56186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Not signing the </w:t>
            </w:r>
            <w:r w:rsidRPr="00A26DA4">
              <w:rPr>
                <w:rFonts w:asciiTheme="minorHAnsi" w:hAnsiTheme="minorHAnsi" w:cs="Arial"/>
                <w:sz w:val="23"/>
                <w:szCs w:val="23"/>
              </w:rPr>
              <w:t>Certificate of the Report on Negotiations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will 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>result in additional staff resource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requirements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as the annexation 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negotiation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process may 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>need to be reopened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  <w:p w14:paraId="2766FA43" w14:textId="18A42B1D" w:rsidR="00B56186" w:rsidRPr="005971F6" w:rsidRDefault="00DB3544" w:rsidP="00B56186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f Council does not direct the CAO to sign 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ertificate </w:t>
            </w:r>
            <w:r>
              <w:rPr>
                <w:rFonts w:asciiTheme="minorHAnsi" w:hAnsiTheme="minorHAnsi" w:cs="Arial"/>
                <w:sz w:val="23"/>
                <w:szCs w:val="23"/>
              </w:rPr>
              <w:t>of the Report on Negotiations under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 the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desire of pro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>gressing the annexation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as </w:t>
            </w:r>
            <w:r w:rsidR="00E7345E">
              <w:rPr>
                <w:rFonts w:asciiTheme="minorHAnsi" w:hAnsiTheme="minorHAnsi" w:cs="Arial"/>
                <w:sz w:val="23"/>
                <w:szCs w:val="23"/>
              </w:rPr>
              <w:t>“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>contested</w:t>
            </w:r>
            <w:r w:rsidR="00E7345E">
              <w:rPr>
                <w:rFonts w:asciiTheme="minorHAnsi" w:hAnsiTheme="minorHAnsi" w:cs="Arial"/>
                <w:sz w:val="23"/>
                <w:szCs w:val="23"/>
              </w:rPr>
              <w:t>”,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materials 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describing </w:t>
            </w:r>
            <w:r>
              <w:rPr>
                <w:rFonts w:asciiTheme="minorHAnsi" w:hAnsiTheme="minorHAnsi" w:cs="Arial"/>
                <w:sz w:val="23"/>
                <w:szCs w:val="23"/>
              </w:rPr>
              <w:t>the associated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>rationale</w:t>
            </w:r>
            <w:r w:rsidR="00C65297">
              <w:rPr>
                <w:rFonts w:asciiTheme="minorHAnsi" w:hAnsiTheme="minorHAnsi" w:cs="Arial"/>
                <w:sz w:val="23"/>
                <w:szCs w:val="23"/>
              </w:rPr>
              <w:t xml:space="preserve"> must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be developed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by the County 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>and submitted to the MGB.</w:t>
            </w:r>
          </w:p>
          <w:p w14:paraId="349B9762" w14:textId="77777777" w:rsidR="00B56186" w:rsidRPr="00AB4FBB" w:rsidRDefault="00B56186" w:rsidP="00B5618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AB4FBB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555191A0" w14:textId="6C2D32CF" w:rsidR="00D237DC" w:rsidRPr="00D924EB" w:rsidRDefault="00B56186" w:rsidP="00D924EB">
            <w:pPr>
              <w:pStyle w:val="ListParagraph"/>
              <w:numPr>
                <w:ilvl w:val="0"/>
                <w:numId w:val="2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D924EB">
              <w:rPr>
                <w:rFonts w:asciiTheme="minorHAnsi" w:hAnsiTheme="minorHAnsi" w:cs="Arial"/>
                <w:sz w:val="23"/>
                <w:szCs w:val="23"/>
              </w:rPr>
              <w:t xml:space="preserve">The annexation agreement includes a clause to the effect of the City compensating the County the sum of $600,000 as a one-time payment following annexation. No additional direct costs or revenues to the County are anticipated at this time </w:t>
            </w:r>
            <w:proofErr w:type="gramStart"/>
            <w:r w:rsidRPr="00D924EB">
              <w:rPr>
                <w:rFonts w:asciiTheme="minorHAnsi" w:hAnsiTheme="minorHAnsi" w:cs="Arial"/>
                <w:sz w:val="23"/>
                <w:szCs w:val="23"/>
              </w:rPr>
              <w:t>as a result of</w:t>
            </w:r>
            <w:proofErr w:type="gramEnd"/>
            <w:r w:rsidRPr="00D924EB">
              <w:rPr>
                <w:rFonts w:asciiTheme="minorHAnsi" w:hAnsiTheme="minorHAnsi" w:cs="Arial"/>
                <w:sz w:val="23"/>
                <w:szCs w:val="23"/>
              </w:rPr>
              <w:t xml:space="preserve"> annexation.</w:t>
            </w:r>
            <w:r w:rsidRPr="00D924E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34BB1">
              <w:rPr>
                <w:rFonts w:asciiTheme="minorHAnsi" w:hAnsiTheme="minorHAnsi" w:cstheme="minorHAnsi"/>
                <w:sz w:val="23"/>
                <w:szCs w:val="23"/>
              </w:rPr>
              <w:t xml:space="preserve">Should the County decide </w:t>
            </w:r>
            <w:r w:rsidR="00DB3544">
              <w:rPr>
                <w:rFonts w:asciiTheme="minorHAnsi" w:hAnsiTheme="minorHAnsi" w:cstheme="minorHAnsi"/>
                <w:sz w:val="23"/>
                <w:szCs w:val="23"/>
              </w:rPr>
              <w:t xml:space="preserve">not </w:t>
            </w:r>
            <w:r w:rsidR="00734BB1">
              <w:rPr>
                <w:rFonts w:asciiTheme="minorHAnsi" w:hAnsiTheme="minorHAnsi" w:cstheme="minorHAnsi"/>
                <w:sz w:val="23"/>
                <w:szCs w:val="23"/>
              </w:rPr>
              <w:t xml:space="preserve">to sign the </w:t>
            </w:r>
            <w:r w:rsidR="00734BB1" w:rsidRPr="00A26DA4">
              <w:rPr>
                <w:rFonts w:asciiTheme="minorHAnsi" w:hAnsiTheme="minorHAnsi" w:cs="Arial"/>
                <w:sz w:val="23"/>
                <w:szCs w:val="23"/>
              </w:rPr>
              <w:t>Certificate of the Report on Negotiations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>, the application will likely be</w:t>
            </w:r>
            <w:r w:rsidR="00DB3544">
              <w:rPr>
                <w:rFonts w:asciiTheme="minorHAnsi" w:hAnsiTheme="minorHAnsi" w:cs="Arial"/>
                <w:sz w:val="23"/>
                <w:szCs w:val="23"/>
              </w:rPr>
              <w:t xml:space="preserve">come 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a ‘contested annexation,’ and compensation </w:t>
            </w:r>
            <w:r w:rsidR="00DB3544">
              <w:rPr>
                <w:rFonts w:asciiTheme="minorHAnsi" w:hAnsiTheme="minorHAnsi" w:cs="Arial"/>
                <w:sz w:val="23"/>
                <w:szCs w:val="23"/>
              </w:rPr>
              <w:t>by the City to the County could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be reevaluated.</w:t>
            </w:r>
          </w:p>
        </w:tc>
      </w:tr>
      <w:tr w:rsidR="006023C3" w:rsidRPr="00995A98" w14:paraId="3E537BB0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DB354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0724ACBB" w14:textId="661C5E6D" w:rsidR="00323978" w:rsidRPr="00995A98" w:rsidRDefault="00EB4CB5" w:rsidP="00414F0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Sign the </w:t>
            </w:r>
            <w:r w:rsidR="00734BB1" w:rsidRPr="00A26DA4">
              <w:rPr>
                <w:rFonts w:asciiTheme="minorHAnsi" w:hAnsiTheme="minorHAnsi" w:cs="Arial"/>
                <w:sz w:val="23"/>
                <w:szCs w:val="23"/>
              </w:rPr>
              <w:t>Certificate of the Report on Negotiations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>and submit to the City of St.</w:t>
            </w:r>
            <w:r w:rsidR="006E734D">
              <w:rPr>
                <w:rFonts w:asciiTheme="minorHAnsi" w:hAnsiTheme="minorHAnsi" w:cs="Arial"/>
                <w:sz w:val="23"/>
                <w:szCs w:val="23"/>
              </w:rPr>
              <w:t> </w:t>
            </w:r>
            <w:r>
              <w:rPr>
                <w:rFonts w:asciiTheme="minorHAnsi" w:hAnsiTheme="minorHAnsi" w:cs="Arial"/>
                <w:sz w:val="23"/>
                <w:szCs w:val="23"/>
              </w:rPr>
              <w:t>Albert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 xml:space="preserve"> for inclusion in the final annexation application submission to the MGB </w:t>
            </w:r>
            <w:r w:rsidR="006E734D">
              <w:rPr>
                <w:rFonts w:asciiTheme="minorHAnsi" w:hAnsiTheme="minorHAnsi" w:cs="Arial"/>
                <w:sz w:val="23"/>
                <w:szCs w:val="23"/>
              </w:rPr>
              <w:t>(CAO’s Office, November 2020</w:t>
            </w:r>
            <w:r w:rsidR="00734BB1">
              <w:rPr>
                <w:rFonts w:asciiTheme="minorHAnsi" w:hAnsiTheme="minorHAnsi" w:cs="Arial"/>
                <w:sz w:val="23"/>
                <w:szCs w:val="23"/>
              </w:rPr>
              <w:t>)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.  </w:t>
            </w:r>
          </w:p>
        </w:tc>
      </w:tr>
      <w:tr w:rsidR="00CC0A5D" w:rsidRPr="00995A98" w14:paraId="6935042E" w14:textId="77777777" w:rsidTr="00DB3544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single" w:sz="4" w:space="0" w:color="auto"/>
              <w:bottom w:val="nil"/>
            </w:tcBorders>
          </w:tcPr>
          <w:p w14:paraId="62BC3473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DB3544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47DC50BA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0E7462FC" w14:textId="13AFD600" w:rsidR="00B56186" w:rsidRPr="009C0A71" w:rsidRDefault="00A26DA4" w:rsidP="00B56186">
            <w:pPr>
              <w:pStyle w:val="ListParagraph"/>
              <w:numPr>
                <w:ilvl w:val="0"/>
                <w:numId w:val="23"/>
              </w:numPr>
              <w:tabs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A26DA4">
              <w:rPr>
                <w:rFonts w:asciiTheme="minorHAnsi" w:hAnsiTheme="minorHAnsi" w:cs="Arial"/>
                <w:sz w:val="23"/>
                <w:szCs w:val="23"/>
              </w:rPr>
              <w:t>Negotiation Certificate</w:t>
            </w:r>
          </w:p>
          <w:p w14:paraId="2011A24A" w14:textId="3E48767C" w:rsidR="009C0A71" w:rsidRPr="00B56186" w:rsidRDefault="001220E4" w:rsidP="00B56186">
            <w:pPr>
              <w:pStyle w:val="ListParagraph"/>
              <w:numPr>
                <w:ilvl w:val="0"/>
                <w:numId w:val="23"/>
              </w:numPr>
              <w:tabs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1220E4">
              <w:rPr>
                <w:rFonts w:asciiTheme="minorHAnsi" w:hAnsiTheme="minorHAnsi" w:cstheme="minorHAnsi"/>
                <w:sz w:val="23"/>
                <w:szCs w:val="23"/>
              </w:rPr>
              <w:t>CONFIDENTIAL - Annexation Negotiations Report (Appendices N and P)</w:t>
            </w:r>
          </w:p>
        </w:tc>
      </w:tr>
      <w:tr w:rsidR="00323978" w:rsidRPr="00995A98" w14:paraId="56199574" w14:textId="77777777" w:rsidTr="00C65297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C65297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64618DE2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C257FC3" w14:textId="77777777" w:rsidR="00EB4CB5" w:rsidRDefault="00EB4CB5" w:rsidP="00EB4CB5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right="317"/>
              <w:rPr>
                <w:rFonts w:asciiTheme="minorHAnsi" w:hAnsiTheme="minorHAnsi"/>
                <w:sz w:val="23"/>
                <w:szCs w:val="23"/>
              </w:rPr>
            </w:pPr>
          </w:p>
          <w:p w14:paraId="600C1ED5" w14:textId="651AB1D7" w:rsidR="00EB4CB5" w:rsidRDefault="00EB4CB5" w:rsidP="00EB4CB5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right="31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Jennifer Lavallee, Manager, Corporate </w:t>
            </w:r>
            <w:proofErr w:type="gramStart"/>
            <w:r>
              <w:rPr>
                <w:rFonts w:asciiTheme="minorHAnsi" w:hAnsiTheme="minorHAnsi"/>
                <w:sz w:val="23"/>
                <w:szCs w:val="23"/>
              </w:rPr>
              <w:t>Planning</w:t>
            </w:r>
            <w:proofErr w:type="gramEnd"/>
            <w:r>
              <w:rPr>
                <w:rFonts w:asciiTheme="minorHAnsi" w:hAnsiTheme="minorHAnsi"/>
                <w:sz w:val="23"/>
                <w:szCs w:val="23"/>
              </w:rPr>
              <w:t xml:space="preserve"> and Intergovernmental Services </w:t>
            </w:r>
          </w:p>
          <w:p w14:paraId="61B2A1CD" w14:textId="77777777" w:rsidR="00EB4CB5" w:rsidRDefault="00EB4CB5" w:rsidP="00EB4CB5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right="317"/>
              <w:rPr>
                <w:rFonts w:asciiTheme="minorHAnsi" w:hAnsiTheme="minorHAnsi"/>
                <w:sz w:val="23"/>
                <w:szCs w:val="23"/>
              </w:rPr>
            </w:pPr>
          </w:p>
          <w:p w14:paraId="4D787400" w14:textId="4C07C8E4" w:rsidR="00EB4CB5" w:rsidRDefault="00EB4CB5" w:rsidP="00EB4CB5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right="31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Travis Peter, Director, Development and Strategic Services</w:t>
            </w:r>
          </w:p>
          <w:p w14:paraId="2106F766" w14:textId="77777777" w:rsidR="00EB4CB5" w:rsidRPr="00556925" w:rsidRDefault="00EB4CB5" w:rsidP="00EB4CB5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right="317"/>
              <w:rPr>
                <w:rFonts w:asciiTheme="minorHAnsi" w:hAnsiTheme="minorHAnsi"/>
                <w:sz w:val="23"/>
                <w:szCs w:val="23"/>
              </w:rPr>
            </w:pPr>
          </w:p>
          <w:p w14:paraId="18DBE84F" w14:textId="234DBDE7" w:rsidR="00323978" w:rsidRPr="00995A98" w:rsidRDefault="00EB4CB5" w:rsidP="00EB4CB5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Reegan McCullough, County Commissioner – CAO</w:t>
            </w: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C65297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C65297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125DA025" w:rsidR="008675A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77777777" w:rsidR="008675A1" w:rsidRPr="00995A98" w:rsidRDefault="008675A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0F8D7BB8" w:rsidR="008675A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77777777" w:rsidR="008675A1" w:rsidRPr="00995A98" w:rsidRDefault="008675A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7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64F9FA51" w:rsidR="007E42F4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082DCBBC" w:rsidR="00290B0D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3C3B4938" w:rsidR="00290B0D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4230F25" w:rsidR="00290B0D" w:rsidRDefault="00290B0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7"/>
      <w:tr w:rsidR="007E42F4" w:rsidRPr="00995A98" w14:paraId="4F8E299F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C65297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1FDDEED5" w:rsidR="007E42F4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7899C2BB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0F02AB3A" w:rsidR="007E42F4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3439B" w:rsidRPr="00995A98" w14:paraId="0C92938E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75EB19F5" w:rsidR="0043439B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77777777" w:rsidR="0043439B" w:rsidRPr="00995A98" w:rsidRDefault="0043439B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28CE5FD7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2B935C6A" w:rsidR="007E42F4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77777777" w:rsidR="007E42F4" w:rsidRPr="00995A98" w:rsidRDefault="007E42F4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4B9E5E78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5E314E94" w:rsidR="005201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C65297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3BD6FF92" w:rsidR="005201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C65297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134E8B60" w:rsidR="005201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66E39DEE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C65297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51E461DC" w:rsidR="005201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0B6C3DA0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C65297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10C4A95E" w:rsidR="0068496D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68496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339F5010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5E81F1B4" w:rsidR="0068496D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77777777" w:rsidR="0068496D" w:rsidRPr="00995A98" w:rsidRDefault="0068496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2B97C78C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54FA9BC9" w:rsidR="0068496D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C6529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3C5C79A3" w:rsidR="005201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CFD47A1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C65297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2194AFD" w:rsidR="005201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5201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74F1" w:rsidRPr="00995A98" w14:paraId="7AE9908F" w14:textId="77777777" w:rsidTr="00C65297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C65297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E42DA52" w:rsidR="00A174F1" w:rsidRPr="00995A98" w:rsidRDefault="009E2EF8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C6529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E7345E" w:rsidRDefault="00E93F6A" w:rsidP="00995A98">
      <w:pPr>
        <w:spacing w:after="60"/>
        <w:rPr>
          <w:rFonts w:asciiTheme="minorHAnsi" w:hAnsiTheme="minorHAnsi" w:cstheme="minorHAnsi"/>
          <w:sz w:val="4"/>
          <w:szCs w:val="4"/>
        </w:rPr>
      </w:pPr>
    </w:p>
    <w:sectPr w:rsidR="00E93F6A" w:rsidRPr="00E7345E" w:rsidSect="00E7345E">
      <w:headerReference w:type="default" r:id="rId12"/>
      <w:footerReference w:type="default" r:id="rId13"/>
      <w:pgSz w:w="12240" w:h="15840" w:code="1"/>
      <w:pgMar w:top="426" w:right="1800" w:bottom="426" w:left="1800" w:header="850" w:footer="509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58CA" w14:textId="77777777" w:rsidR="00845815" w:rsidRDefault="00845815">
      <w:r>
        <w:separator/>
      </w:r>
    </w:p>
  </w:endnote>
  <w:endnote w:type="continuationSeparator" w:id="0">
    <w:p w14:paraId="12ED4FA4" w14:textId="77777777" w:rsidR="00845815" w:rsidRDefault="008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302D" w14:textId="2ABE2855" w:rsidR="00C65297" w:rsidRDefault="00C65297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>
      <w:rPr>
        <w:rFonts w:asciiTheme="minorHAnsi" w:hAnsiTheme="minorHAnsi"/>
        <w:b w:val="0"/>
        <w:bCs/>
        <w:color w:val="999999"/>
        <w:sz w:val="20"/>
      </w:rPr>
      <w:t xml:space="preserve">October 20, 2020 </w:t>
    </w:r>
  </w:p>
  <w:p w14:paraId="4515F142" w14:textId="779E545F" w:rsidR="00C65297" w:rsidRPr="006F189C" w:rsidRDefault="00C65297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  <w:t xml:space="preserve">November 24, 2020 </w:t>
    </w:r>
    <w:r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B4E3" w14:textId="77777777" w:rsidR="00845815" w:rsidRDefault="00845815">
      <w:r>
        <w:separator/>
      </w:r>
    </w:p>
  </w:footnote>
  <w:footnote w:type="continuationSeparator" w:id="0">
    <w:p w14:paraId="3F796048" w14:textId="77777777" w:rsidR="00845815" w:rsidRDefault="0084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25F0" w14:textId="3827E009" w:rsidR="00E7345E" w:rsidRDefault="00E7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5A2F"/>
    <w:multiLevelType w:val="hybridMultilevel"/>
    <w:tmpl w:val="FD16B7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3A32"/>
    <w:multiLevelType w:val="hybridMultilevel"/>
    <w:tmpl w:val="721AD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1E82"/>
    <w:multiLevelType w:val="hybridMultilevel"/>
    <w:tmpl w:val="7AAA4EAC"/>
    <w:lvl w:ilvl="0" w:tplc="18E0CB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6E6"/>
    <w:multiLevelType w:val="hybridMultilevel"/>
    <w:tmpl w:val="18A006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D6510"/>
    <w:multiLevelType w:val="hybridMultilevel"/>
    <w:tmpl w:val="AD181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4E0B"/>
    <w:multiLevelType w:val="hybridMultilevel"/>
    <w:tmpl w:val="B4EEAD32"/>
    <w:lvl w:ilvl="0" w:tplc="46FEED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C0C9C"/>
    <w:multiLevelType w:val="hybridMultilevel"/>
    <w:tmpl w:val="CC1C03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85B7E"/>
    <w:multiLevelType w:val="hybridMultilevel"/>
    <w:tmpl w:val="DF6CA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F1214"/>
    <w:multiLevelType w:val="hybridMultilevel"/>
    <w:tmpl w:val="4C70FA9C"/>
    <w:lvl w:ilvl="0" w:tplc="8FE60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9"/>
  </w:num>
  <w:num w:numId="8">
    <w:abstractNumId w:val="16"/>
  </w:num>
  <w:num w:numId="9">
    <w:abstractNumId w:val="17"/>
  </w:num>
  <w:num w:numId="10">
    <w:abstractNumId w:val="21"/>
  </w:num>
  <w:num w:numId="11">
    <w:abstractNumId w:val="0"/>
  </w:num>
  <w:num w:numId="12">
    <w:abstractNumId w:val="22"/>
  </w:num>
  <w:num w:numId="13">
    <w:abstractNumId w:val="15"/>
  </w:num>
  <w:num w:numId="14">
    <w:abstractNumId w:val="20"/>
  </w:num>
  <w:num w:numId="15">
    <w:abstractNumId w:val="12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  <w:num w:numId="20">
    <w:abstractNumId w:val="11"/>
  </w:num>
  <w:num w:numId="21">
    <w:abstractNumId w:val="24"/>
  </w:num>
  <w:num w:numId="22">
    <w:abstractNumId w:val="25"/>
  </w:num>
  <w:num w:numId="23">
    <w:abstractNumId w:val="18"/>
  </w:num>
  <w:num w:numId="24">
    <w:abstractNumId w:val="3"/>
  </w:num>
  <w:num w:numId="25">
    <w:abstractNumId w:val="8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3791"/>
    <w:rsid w:val="00095A83"/>
    <w:rsid w:val="000B118C"/>
    <w:rsid w:val="000E190B"/>
    <w:rsid w:val="000F238A"/>
    <w:rsid w:val="000F5525"/>
    <w:rsid w:val="00101776"/>
    <w:rsid w:val="001220E4"/>
    <w:rsid w:val="00124814"/>
    <w:rsid w:val="00126832"/>
    <w:rsid w:val="001308E8"/>
    <w:rsid w:val="001326E4"/>
    <w:rsid w:val="00137DD6"/>
    <w:rsid w:val="00142DD5"/>
    <w:rsid w:val="001448FA"/>
    <w:rsid w:val="00170E32"/>
    <w:rsid w:val="0018386A"/>
    <w:rsid w:val="001848A0"/>
    <w:rsid w:val="0018529E"/>
    <w:rsid w:val="00194938"/>
    <w:rsid w:val="001A3DD6"/>
    <w:rsid w:val="001B202F"/>
    <w:rsid w:val="001B327A"/>
    <w:rsid w:val="001C134D"/>
    <w:rsid w:val="001C1FBC"/>
    <w:rsid w:val="001D1AED"/>
    <w:rsid w:val="001D28FD"/>
    <w:rsid w:val="001E79C9"/>
    <w:rsid w:val="00200AE3"/>
    <w:rsid w:val="00202F3A"/>
    <w:rsid w:val="0020414F"/>
    <w:rsid w:val="00211D4B"/>
    <w:rsid w:val="002158FF"/>
    <w:rsid w:val="00226ADC"/>
    <w:rsid w:val="00241F15"/>
    <w:rsid w:val="00242A43"/>
    <w:rsid w:val="00245E2C"/>
    <w:rsid w:val="002601A2"/>
    <w:rsid w:val="00280178"/>
    <w:rsid w:val="00286002"/>
    <w:rsid w:val="00290B0D"/>
    <w:rsid w:val="002970D5"/>
    <w:rsid w:val="002B31B9"/>
    <w:rsid w:val="002D5DC2"/>
    <w:rsid w:val="002E5E57"/>
    <w:rsid w:val="002E7E2C"/>
    <w:rsid w:val="002F39E5"/>
    <w:rsid w:val="0030162C"/>
    <w:rsid w:val="00305A9E"/>
    <w:rsid w:val="00306935"/>
    <w:rsid w:val="0032153A"/>
    <w:rsid w:val="00323978"/>
    <w:rsid w:val="00327F4B"/>
    <w:rsid w:val="003311C2"/>
    <w:rsid w:val="00334904"/>
    <w:rsid w:val="00335992"/>
    <w:rsid w:val="003439C5"/>
    <w:rsid w:val="00353FC5"/>
    <w:rsid w:val="0037406A"/>
    <w:rsid w:val="003751B2"/>
    <w:rsid w:val="003853BE"/>
    <w:rsid w:val="0039117E"/>
    <w:rsid w:val="00394141"/>
    <w:rsid w:val="003973AF"/>
    <w:rsid w:val="00397440"/>
    <w:rsid w:val="003A3593"/>
    <w:rsid w:val="003A37AD"/>
    <w:rsid w:val="003A4452"/>
    <w:rsid w:val="003B74CB"/>
    <w:rsid w:val="003C224D"/>
    <w:rsid w:val="003C5EAE"/>
    <w:rsid w:val="003C729B"/>
    <w:rsid w:val="003D063E"/>
    <w:rsid w:val="003E6787"/>
    <w:rsid w:val="00406A37"/>
    <w:rsid w:val="00407577"/>
    <w:rsid w:val="00410AD4"/>
    <w:rsid w:val="004120A2"/>
    <w:rsid w:val="00414F03"/>
    <w:rsid w:val="0043439B"/>
    <w:rsid w:val="00445C9E"/>
    <w:rsid w:val="00454159"/>
    <w:rsid w:val="00461A8C"/>
    <w:rsid w:val="00490EA7"/>
    <w:rsid w:val="004A31DF"/>
    <w:rsid w:val="004B61AE"/>
    <w:rsid w:val="004D01B2"/>
    <w:rsid w:val="004D13A7"/>
    <w:rsid w:val="004D411A"/>
    <w:rsid w:val="004D4494"/>
    <w:rsid w:val="004D7C21"/>
    <w:rsid w:val="004E02C8"/>
    <w:rsid w:val="004E2D44"/>
    <w:rsid w:val="004E4C16"/>
    <w:rsid w:val="004F333F"/>
    <w:rsid w:val="005147D3"/>
    <w:rsid w:val="005201F1"/>
    <w:rsid w:val="0052158F"/>
    <w:rsid w:val="00522563"/>
    <w:rsid w:val="0052471D"/>
    <w:rsid w:val="005251FD"/>
    <w:rsid w:val="00526683"/>
    <w:rsid w:val="005314F4"/>
    <w:rsid w:val="005349BF"/>
    <w:rsid w:val="00546220"/>
    <w:rsid w:val="00547FE8"/>
    <w:rsid w:val="00550564"/>
    <w:rsid w:val="00562E77"/>
    <w:rsid w:val="00564E9C"/>
    <w:rsid w:val="00565774"/>
    <w:rsid w:val="00571759"/>
    <w:rsid w:val="00574452"/>
    <w:rsid w:val="0058202E"/>
    <w:rsid w:val="0058262F"/>
    <w:rsid w:val="00585FC3"/>
    <w:rsid w:val="005A0861"/>
    <w:rsid w:val="005B5E44"/>
    <w:rsid w:val="005D776C"/>
    <w:rsid w:val="005E4B38"/>
    <w:rsid w:val="005E626E"/>
    <w:rsid w:val="005F0217"/>
    <w:rsid w:val="005F4D56"/>
    <w:rsid w:val="005F7308"/>
    <w:rsid w:val="0060226A"/>
    <w:rsid w:val="006023C3"/>
    <w:rsid w:val="00602885"/>
    <w:rsid w:val="006104DD"/>
    <w:rsid w:val="00636010"/>
    <w:rsid w:val="00641632"/>
    <w:rsid w:val="006634C1"/>
    <w:rsid w:val="00663EE7"/>
    <w:rsid w:val="00664295"/>
    <w:rsid w:val="00671028"/>
    <w:rsid w:val="00672200"/>
    <w:rsid w:val="0067613E"/>
    <w:rsid w:val="0068496D"/>
    <w:rsid w:val="00692CA5"/>
    <w:rsid w:val="00696DD6"/>
    <w:rsid w:val="006A1244"/>
    <w:rsid w:val="006D336A"/>
    <w:rsid w:val="006D4BF5"/>
    <w:rsid w:val="006D57FB"/>
    <w:rsid w:val="006D7DE6"/>
    <w:rsid w:val="006E1510"/>
    <w:rsid w:val="006E734D"/>
    <w:rsid w:val="006E7AC5"/>
    <w:rsid w:val="006F189C"/>
    <w:rsid w:val="006F34C1"/>
    <w:rsid w:val="0070601B"/>
    <w:rsid w:val="007075CB"/>
    <w:rsid w:val="00710FFE"/>
    <w:rsid w:val="00721780"/>
    <w:rsid w:val="007315C4"/>
    <w:rsid w:val="00734BB1"/>
    <w:rsid w:val="00741697"/>
    <w:rsid w:val="007418E8"/>
    <w:rsid w:val="00745013"/>
    <w:rsid w:val="00745E2B"/>
    <w:rsid w:val="007910CD"/>
    <w:rsid w:val="007961DA"/>
    <w:rsid w:val="00796DE8"/>
    <w:rsid w:val="007B1973"/>
    <w:rsid w:val="007B2527"/>
    <w:rsid w:val="007B4182"/>
    <w:rsid w:val="007C490E"/>
    <w:rsid w:val="007C69F2"/>
    <w:rsid w:val="007C6DFB"/>
    <w:rsid w:val="007C7413"/>
    <w:rsid w:val="007C7966"/>
    <w:rsid w:val="007D0FAD"/>
    <w:rsid w:val="007D153E"/>
    <w:rsid w:val="007E0FE2"/>
    <w:rsid w:val="007E42F4"/>
    <w:rsid w:val="0083066C"/>
    <w:rsid w:val="008314BE"/>
    <w:rsid w:val="00845815"/>
    <w:rsid w:val="00854B04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CDE"/>
    <w:rsid w:val="008B00D5"/>
    <w:rsid w:val="008B5DBE"/>
    <w:rsid w:val="008E06B8"/>
    <w:rsid w:val="008E140E"/>
    <w:rsid w:val="008E2CCE"/>
    <w:rsid w:val="008F0889"/>
    <w:rsid w:val="0091072C"/>
    <w:rsid w:val="009155A1"/>
    <w:rsid w:val="00924D4B"/>
    <w:rsid w:val="00940FD8"/>
    <w:rsid w:val="009438F8"/>
    <w:rsid w:val="00952915"/>
    <w:rsid w:val="00956CBB"/>
    <w:rsid w:val="00964F15"/>
    <w:rsid w:val="00966A65"/>
    <w:rsid w:val="00975691"/>
    <w:rsid w:val="009807D3"/>
    <w:rsid w:val="00990948"/>
    <w:rsid w:val="00990BDC"/>
    <w:rsid w:val="00991E0B"/>
    <w:rsid w:val="00992937"/>
    <w:rsid w:val="00995A98"/>
    <w:rsid w:val="00995E38"/>
    <w:rsid w:val="009A43FC"/>
    <w:rsid w:val="009A6A22"/>
    <w:rsid w:val="009C0A71"/>
    <w:rsid w:val="009C3FEF"/>
    <w:rsid w:val="009D02C9"/>
    <w:rsid w:val="009E2EF8"/>
    <w:rsid w:val="009F2A04"/>
    <w:rsid w:val="009F5513"/>
    <w:rsid w:val="009F70E5"/>
    <w:rsid w:val="00A174F1"/>
    <w:rsid w:val="00A26503"/>
    <w:rsid w:val="00A26DA4"/>
    <w:rsid w:val="00A3684A"/>
    <w:rsid w:val="00A43A93"/>
    <w:rsid w:val="00A44FB1"/>
    <w:rsid w:val="00A514B9"/>
    <w:rsid w:val="00A554B7"/>
    <w:rsid w:val="00A5595D"/>
    <w:rsid w:val="00A61D76"/>
    <w:rsid w:val="00A651F5"/>
    <w:rsid w:val="00A75467"/>
    <w:rsid w:val="00A81213"/>
    <w:rsid w:val="00A82A30"/>
    <w:rsid w:val="00A84C15"/>
    <w:rsid w:val="00AA3545"/>
    <w:rsid w:val="00AA702D"/>
    <w:rsid w:val="00AB2778"/>
    <w:rsid w:val="00AB4F43"/>
    <w:rsid w:val="00AC21F2"/>
    <w:rsid w:val="00AD2A95"/>
    <w:rsid w:val="00AE0152"/>
    <w:rsid w:val="00B03676"/>
    <w:rsid w:val="00B1166E"/>
    <w:rsid w:val="00B1304C"/>
    <w:rsid w:val="00B131F2"/>
    <w:rsid w:val="00B215D9"/>
    <w:rsid w:val="00B26225"/>
    <w:rsid w:val="00B2766F"/>
    <w:rsid w:val="00B4148F"/>
    <w:rsid w:val="00B41937"/>
    <w:rsid w:val="00B41C7A"/>
    <w:rsid w:val="00B537B7"/>
    <w:rsid w:val="00B56186"/>
    <w:rsid w:val="00B5663F"/>
    <w:rsid w:val="00B64309"/>
    <w:rsid w:val="00B670F2"/>
    <w:rsid w:val="00B72930"/>
    <w:rsid w:val="00B72C87"/>
    <w:rsid w:val="00B75380"/>
    <w:rsid w:val="00B801DE"/>
    <w:rsid w:val="00B810B0"/>
    <w:rsid w:val="00B85225"/>
    <w:rsid w:val="00B8593D"/>
    <w:rsid w:val="00B87778"/>
    <w:rsid w:val="00BA22EF"/>
    <w:rsid w:val="00BB1517"/>
    <w:rsid w:val="00BC49CA"/>
    <w:rsid w:val="00BC5AC3"/>
    <w:rsid w:val="00BD33DA"/>
    <w:rsid w:val="00BF3302"/>
    <w:rsid w:val="00C00AA1"/>
    <w:rsid w:val="00C02B01"/>
    <w:rsid w:val="00C04407"/>
    <w:rsid w:val="00C046D1"/>
    <w:rsid w:val="00C14EEB"/>
    <w:rsid w:val="00C317D0"/>
    <w:rsid w:val="00C36C13"/>
    <w:rsid w:val="00C433CD"/>
    <w:rsid w:val="00C52FA7"/>
    <w:rsid w:val="00C62EB6"/>
    <w:rsid w:val="00C65297"/>
    <w:rsid w:val="00C805A9"/>
    <w:rsid w:val="00C82387"/>
    <w:rsid w:val="00C8731C"/>
    <w:rsid w:val="00C96967"/>
    <w:rsid w:val="00CB2F2D"/>
    <w:rsid w:val="00CB3C92"/>
    <w:rsid w:val="00CB5E49"/>
    <w:rsid w:val="00CC0A5D"/>
    <w:rsid w:val="00CC7707"/>
    <w:rsid w:val="00CE0109"/>
    <w:rsid w:val="00CF27C6"/>
    <w:rsid w:val="00D01131"/>
    <w:rsid w:val="00D02EDE"/>
    <w:rsid w:val="00D10FAD"/>
    <w:rsid w:val="00D1125E"/>
    <w:rsid w:val="00D20C46"/>
    <w:rsid w:val="00D21E35"/>
    <w:rsid w:val="00D2364E"/>
    <w:rsid w:val="00D237DC"/>
    <w:rsid w:val="00D33E3B"/>
    <w:rsid w:val="00D35182"/>
    <w:rsid w:val="00D35A11"/>
    <w:rsid w:val="00D41218"/>
    <w:rsid w:val="00D478BA"/>
    <w:rsid w:val="00D676AE"/>
    <w:rsid w:val="00D72135"/>
    <w:rsid w:val="00D77E75"/>
    <w:rsid w:val="00D81514"/>
    <w:rsid w:val="00D924EB"/>
    <w:rsid w:val="00D94BC7"/>
    <w:rsid w:val="00D97C8E"/>
    <w:rsid w:val="00DA20C7"/>
    <w:rsid w:val="00DA7205"/>
    <w:rsid w:val="00DB3544"/>
    <w:rsid w:val="00DB71F7"/>
    <w:rsid w:val="00DC051C"/>
    <w:rsid w:val="00DD3E6B"/>
    <w:rsid w:val="00DD5160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1F97"/>
    <w:rsid w:val="00E52909"/>
    <w:rsid w:val="00E56320"/>
    <w:rsid w:val="00E7345E"/>
    <w:rsid w:val="00E765AE"/>
    <w:rsid w:val="00E76C00"/>
    <w:rsid w:val="00E77550"/>
    <w:rsid w:val="00E902D1"/>
    <w:rsid w:val="00E9281E"/>
    <w:rsid w:val="00E93F6A"/>
    <w:rsid w:val="00E979B7"/>
    <w:rsid w:val="00EA34CA"/>
    <w:rsid w:val="00EB4CB5"/>
    <w:rsid w:val="00EC79C2"/>
    <w:rsid w:val="00ED178D"/>
    <w:rsid w:val="00EE2F1B"/>
    <w:rsid w:val="00EE4830"/>
    <w:rsid w:val="00EF579C"/>
    <w:rsid w:val="00F022E9"/>
    <w:rsid w:val="00F06FBD"/>
    <w:rsid w:val="00F168A5"/>
    <w:rsid w:val="00F17838"/>
    <w:rsid w:val="00F21DF5"/>
    <w:rsid w:val="00F40663"/>
    <w:rsid w:val="00F43911"/>
    <w:rsid w:val="00F460A6"/>
    <w:rsid w:val="00F54796"/>
    <w:rsid w:val="00F60F12"/>
    <w:rsid w:val="00F60F1B"/>
    <w:rsid w:val="00F6527D"/>
    <w:rsid w:val="00F7350C"/>
    <w:rsid w:val="00F7421E"/>
    <w:rsid w:val="00F95566"/>
    <w:rsid w:val="00FA228B"/>
    <w:rsid w:val="00FB118C"/>
    <w:rsid w:val="00FB34BF"/>
    <w:rsid w:val="00FB68F9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Dianne Mason</cp:lastModifiedBy>
  <cp:revision>2</cp:revision>
  <cp:lastPrinted>2012-04-12T21:53:00Z</cp:lastPrinted>
  <dcterms:created xsi:type="dcterms:W3CDTF">2020-11-20T16:56:00Z</dcterms:created>
  <dcterms:modified xsi:type="dcterms:W3CDTF">2020-11-20T16:56:00Z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