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FF61" w14:textId="77777777" w:rsidR="00F6527D" w:rsidRDefault="00FB118C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EE4830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BAD5DE2" w14:textId="27DC4084" w:rsidR="00995A98" w:rsidRPr="00995A98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6A2D19">
        <w:rPr>
          <w:rFonts w:asciiTheme="minorHAnsi" w:hAnsiTheme="minorHAnsi"/>
          <w:b/>
          <w:sz w:val="23"/>
          <w:szCs w:val="23"/>
          <w:u w:val="single"/>
        </w:rPr>
        <w:t>D.3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1F7B8CE6" w:rsidR="00CC7707" w:rsidRPr="00995A98" w:rsidRDefault="00EC50A9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EC50A9">
              <w:rPr>
                <w:rFonts w:asciiTheme="minorHAnsi" w:hAnsiTheme="minorHAnsi"/>
                <w:b/>
                <w:sz w:val="23"/>
                <w:szCs w:val="23"/>
              </w:rPr>
              <w:t xml:space="preserve">Bylaw 1530/21 - Debenture for Broadband </w:t>
            </w:r>
            <w:r w:rsidR="00EB1E5B">
              <w:rPr>
                <w:rFonts w:asciiTheme="minorHAnsi" w:hAnsiTheme="minorHAnsi"/>
                <w:b/>
                <w:sz w:val="23"/>
                <w:szCs w:val="23"/>
              </w:rPr>
              <w:t xml:space="preserve">Infrastructure </w:t>
            </w:r>
            <w:r w:rsidR="00C41462">
              <w:rPr>
                <w:rFonts w:asciiTheme="minorHAnsi" w:hAnsiTheme="minorHAnsi"/>
                <w:b/>
                <w:sz w:val="23"/>
                <w:szCs w:val="23"/>
              </w:rPr>
              <w:t xml:space="preserve">– Phase 1 - </w:t>
            </w:r>
            <w:r w:rsidRPr="00EC50A9">
              <w:rPr>
                <w:rFonts w:asciiTheme="minorHAnsi" w:hAnsiTheme="minorHAnsi"/>
                <w:b/>
                <w:sz w:val="23"/>
                <w:szCs w:val="23"/>
              </w:rPr>
              <w:t>First Reading</w:t>
            </w:r>
            <w:r w:rsidR="00B670F2" w:rsidRPr="00995A98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5F4D56" w:rsidRPr="00995A98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995A98" w:rsidRDefault="005F4D56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30EDB38C" w:rsidR="00FA228B" w:rsidRPr="00995A98" w:rsidRDefault="00EC50A9" w:rsidP="007B2354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That Council give first reading of Bylaw 1530/21.</w:t>
            </w:r>
          </w:p>
        </w:tc>
      </w:tr>
      <w:tr w:rsidR="00546220" w:rsidRPr="00995A98" w14:paraId="6F333AD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995A98" w:rsidRDefault="00546220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F013A0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003F222A" w:rsidR="00D237DC" w:rsidRPr="00995A98" w:rsidRDefault="00EC50A9" w:rsidP="007B2354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Administration recommends that Council give first reading of Bylaw 1530/21 </w:t>
            </w:r>
            <w:r w:rsidR="005B1D97">
              <w:rPr>
                <w:rFonts w:asciiTheme="minorHAnsi" w:hAnsiTheme="minorHAnsi" w:cs="Arial"/>
                <w:sz w:val="23"/>
                <w:szCs w:val="23"/>
              </w:rPr>
              <w:t>to authorize the use of long-term borrowing to fund</w:t>
            </w:r>
            <w:r w:rsidR="005B1D97" w:rsidDel="005B1D97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C41462">
              <w:rPr>
                <w:rFonts w:asciiTheme="minorHAnsi" w:hAnsiTheme="minorHAnsi" w:cs="Arial"/>
                <w:sz w:val="23"/>
                <w:szCs w:val="23"/>
              </w:rPr>
              <w:t xml:space="preserve">Phase 1 of </w:t>
            </w:r>
            <w:r w:rsidR="00D75E91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="0066542A">
              <w:rPr>
                <w:rFonts w:asciiTheme="minorHAnsi" w:hAnsiTheme="minorHAnsi" w:cs="Arial"/>
                <w:sz w:val="23"/>
                <w:szCs w:val="23"/>
              </w:rPr>
              <w:t>development</w:t>
            </w:r>
            <w:r w:rsidR="00D75E9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of broadband </w:t>
            </w:r>
            <w:r w:rsidR="00EB1E5B">
              <w:rPr>
                <w:rFonts w:asciiTheme="minorHAnsi" w:hAnsiTheme="minorHAnsi" w:cs="Arial"/>
                <w:sz w:val="23"/>
                <w:szCs w:val="23"/>
              </w:rPr>
              <w:t xml:space="preserve">infrastructure </w:t>
            </w:r>
            <w:r>
              <w:rPr>
                <w:rFonts w:asciiTheme="minorHAnsi" w:hAnsiTheme="minorHAnsi" w:cs="Arial"/>
                <w:sz w:val="23"/>
                <w:szCs w:val="23"/>
              </w:rPr>
              <w:t>to improve internet access throughout the County.</w:t>
            </w:r>
          </w:p>
        </w:tc>
      </w:tr>
      <w:tr w:rsidR="00995A98" w:rsidRPr="00995A98" w14:paraId="6FB7CCF7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995A98" w:rsidRDefault="00995A98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0CF4378" w14:textId="77777777" w:rsidR="00A26670" w:rsidRPr="007B2354" w:rsidRDefault="00A26670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7B2354">
              <w:rPr>
                <w:rFonts w:asciiTheme="minorHAnsi" w:hAnsiTheme="minorHAnsi" w:cs="Arial"/>
                <w:sz w:val="23"/>
                <w:szCs w:val="23"/>
                <w:u w:val="single"/>
              </w:rPr>
              <w:t>December 8, 2020 Regular Council Meeting</w:t>
            </w:r>
          </w:p>
          <w:p w14:paraId="2A5C059F" w14:textId="77777777" w:rsidR="00A26670" w:rsidRPr="002255C8" w:rsidRDefault="00A26670" w:rsidP="007B2354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2255C8">
              <w:rPr>
                <w:rFonts w:asciiTheme="minorHAnsi" w:hAnsiTheme="minorHAnsi" w:cs="Arial"/>
                <w:sz w:val="23"/>
                <w:szCs w:val="23"/>
              </w:rPr>
              <w:t>Motion 579/20: That Council approve the 2021 Operating and Capital Budget as amended by motions passed on November 27, 2020 and represented by a 0% tax rate increase with $8,932,886 Significant Tax Revenue Growth allocated to the policy priority reserves for Council consideration in early 2021.</w:t>
            </w:r>
          </w:p>
          <w:p w14:paraId="1257BCD3" w14:textId="77777777" w:rsidR="00A26670" w:rsidRPr="007B2354" w:rsidRDefault="00A26670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</w:p>
          <w:p w14:paraId="42797D54" w14:textId="00212366" w:rsidR="00EC50A9" w:rsidRPr="007B2354" w:rsidRDefault="00EC50A9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7B2354">
              <w:rPr>
                <w:rFonts w:asciiTheme="minorHAnsi" w:hAnsiTheme="minorHAnsi" w:cs="Arial"/>
                <w:sz w:val="23"/>
                <w:szCs w:val="23"/>
                <w:u w:val="single"/>
              </w:rPr>
              <w:t>November 27, 2020 Council Budget Meeting</w:t>
            </w:r>
          </w:p>
          <w:p w14:paraId="61BE5515" w14:textId="031414BA" w:rsidR="00FF23A3" w:rsidRPr="00995A98" w:rsidRDefault="00407627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407627">
              <w:rPr>
                <w:rFonts w:asciiTheme="minorHAnsi" w:hAnsiTheme="minorHAnsi" w:cs="Arial"/>
                <w:sz w:val="23"/>
                <w:szCs w:val="23"/>
              </w:rPr>
              <w:t>Motion 554/20: That Council fund the Broadband Initiative project to a maximum of $7,300,000 in the 2021 proposed budget with funding to come from long-term debt.</w:t>
            </w:r>
          </w:p>
        </w:tc>
      </w:tr>
      <w:tr w:rsidR="00546220" w:rsidRPr="00995A98" w14:paraId="6FB75374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995A98" w:rsidRDefault="00546220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304C" w:rsidRPr="00995A98" w14:paraId="34B76C87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95A98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73EF6666" w14:textId="77777777" w:rsidR="00B1304C" w:rsidRPr="00995A98" w:rsidRDefault="00B1304C" w:rsidP="007B2354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Background Information</w:t>
            </w:r>
          </w:p>
          <w:p w14:paraId="17D1647D" w14:textId="110ACB12" w:rsidR="00EC50A9" w:rsidRPr="00EB1E5B" w:rsidRDefault="00EC50A9" w:rsidP="007B2354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In a 2020 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>survey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proofErr w:type="gramStart"/>
            <w:r w:rsidR="00401A76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="00EB1E5B">
              <w:rPr>
                <w:rFonts w:asciiTheme="minorHAnsi" w:hAnsiTheme="minorHAnsi" w:cs="Arial"/>
                <w:sz w:val="23"/>
                <w:szCs w:val="23"/>
              </w:rPr>
              <w:t>majority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of</w:t>
            </w:r>
            <w:proofErr w:type="gramEnd"/>
            <w:r>
              <w:rPr>
                <w:rFonts w:asciiTheme="minorHAnsi" w:hAnsiTheme="minorHAnsi" w:cs="Arial"/>
                <w:sz w:val="23"/>
                <w:szCs w:val="23"/>
              </w:rPr>
              <w:t xml:space="preserve"> residents and businesses within Sturgeon County reported that internet access was either very important or that they could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 xml:space="preserve"> not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live without it. </w:t>
            </w:r>
            <w:r w:rsidRPr="00EB1E5B">
              <w:rPr>
                <w:rFonts w:asciiTheme="minorHAnsi" w:hAnsiTheme="minorHAnsi" w:cs="Arial"/>
                <w:sz w:val="23"/>
                <w:szCs w:val="23"/>
              </w:rPr>
              <w:t xml:space="preserve">The same study showed that most residents and business are currently dissatisfied </w:t>
            </w:r>
            <w:r w:rsidR="00401A76">
              <w:rPr>
                <w:rFonts w:asciiTheme="minorHAnsi" w:hAnsiTheme="minorHAnsi" w:cs="Arial"/>
                <w:sz w:val="23"/>
                <w:szCs w:val="23"/>
              </w:rPr>
              <w:t>o</w:t>
            </w:r>
            <w:r w:rsidRPr="00EB1E5B">
              <w:rPr>
                <w:rFonts w:asciiTheme="minorHAnsi" w:hAnsiTheme="minorHAnsi" w:cs="Arial"/>
                <w:sz w:val="23"/>
                <w:szCs w:val="23"/>
              </w:rPr>
              <w:t xml:space="preserve">r very dissatisfied with the reliability, speed, and value of their current internet service. </w:t>
            </w:r>
          </w:p>
          <w:p w14:paraId="06A36EDD" w14:textId="643F1A7D" w:rsidR="00D33E3B" w:rsidRDefault="00EC50A9" w:rsidP="007B2354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The broadband </w:t>
            </w:r>
            <w:r w:rsidR="00401A76">
              <w:rPr>
                <w:rFonts w:asciiTheme="minorHAnsi" w:hAnsiTheme="minorHAnsi" w:cs="Arial"/>
                <w:sz w:val="23"/>
                <w:szCs w:val="23"/>
              </w:rPr>
              <w:t>initiative project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>seeks</w:t>
            </w:r>
            <w:r w:rsidR="00401A76">
              <w:rPr>
                <w:rFonts w:asciiTheme="minorHAnsi" w:hAnsiTheme="minorHAnsi" w:cs="Arial"/>
                <w:sz w:val="23"/>
                <w:szCs w:val="23"/>
              </w:rPr>
              <w:t xml:space="preserve"> to improve high-speed internet access for residents and businesses in Sturgeon County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  <w:r w:rsidR="00401A76">
              <w:rPr>
                <w:rFonts w:asciiTheme="minorHAnsi" w:hAnsiTheme="minorHAnsi" w:cs="Arial"/>
                <w:sz w:val="23"/>
                <w:szCs w:val="23"/>
              </w:rPr>
              <w:t xml:space="preserve">Investments in broadband infrastructure </w:t>
            </w:r>
            <w:r w:rsidR="007B7FA7">
              <w:rPr>
                <w:rFonts w:asciiTheme="minorHAnsi" w:hAnsiTheme="minorHAnsi" w:cs="Arial"/>
                <w:sz w:val="23"/>
                <w:szCs w:val="23"/>
              </w:rPr>
              <w:t>will be implemented in phases, starting with a pilot project in</w:t>
            </w:r>
            <w:r w:rsidR="00401A76">
              <w:rPr>
                <w:rFonts w:asciiTheme="minorHAnsi" w:hAnsiTheme="minorHAnsi" w:cs="Arial"/>
                <w:sz w:val="23"/>
                <w:szCs w:val="23"/>
              </w:rPr>
              <w:t xml:space="preserve"> the area including Villeneuve Airport, Pro North, and Heritage Industrial Parks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 xml:space="preserve"> and the hamlets of Villeneuve, Calahoo, and Rivi</w:t>
            </w:r>
            <w:r w:rsidR="008963AC">
              <w:rPr>
                <w:rFonts w:asciiTheme="minorHAnsi" w:hAnsiTheme="minorHAnsi" w:cstheme="minorHAnsi"/>
                <w:sz w:val="23"/>
                <w:szCs w:val="23"/>
              </w:rPr>
              <w:t>è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 xml:space="preserve">re </w:t>
            </w:r>
            <w:proofErr w:type="gramStart"/>
            <w:r w:rsidR="008963AC">
              <w:rPr>
                <w:rFonts w:asciiTheme="minorHAnsi" w:hAnsiTheme="minorHAnsi" w:cs="Arial"/>
                <w:sz w:val="23"/>
                <w:szCs w:val="23"/>
              </w:rPr>
              <w:t>Qui</w:t>
            </w:r>
            <w:proofErr w:type="gramEnd"/>
            <w:r w:rsidR="008963AC">
              <w:rPr>
                <w:rFonts w:asciiTheme="minorHAnsi" w:hAnsiTheme="minorHAnsi" w:cs="Arial"/>
                <w:sz w:val="23"/>
                <w:szCs w:val="23"/>
              </w:rPr>
              <w:t xml:space="preserve"> Barre. </w:t>
            </w:r>
          </w:p>
          <w:p w14:paraId="4B4E0CAD" w14:textId="15117DEE" w:rsidR="00EB1E5B" w:rsidRDefault="00EB1E5B" w:rsidP="007B2354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The broadband</w:t>
            </w:r>
            <w:r w:rsidR="00401A76">
              <w:rPr>
                <w:rFonts w:asciiTheme="minorHAnsi" w:hAnsiTheme="minorHAnsi" w:cs="Arial"/>
                <w:sz w:val="23"/>
                <w:szCs w:val="23"/>
              </w:rPr>
              <w:t xml:space="preserve"> initiative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project was presented and approved as part of the 2021 Capital budget. </w:t>
            </w:r>
          </w:p>
          <w:p w14:paraId="0A2E8E22" w14:textId="4A9626F8" w:rsidR="007B7FA7" w:rsidRDefault="007B7FA7" w:rsidP="007B2354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lastRenderedPageBreak/>
              <w:t xml:space="preserve">The proposed Debenture Bylaw 1530/21 </w:t>
            </w:r>
            <w:r w:rsidR="00C41462">
              <w:rPr>
                <w:rFonts w:asciiTheme="minorHAnsi" w:hAnsiTheme="minorHAnsi" w:cs="Arial"/>
                <w:sz w:val="23"/>
                <w:szCs w:val="23"/>
              </w:rPr>
              <w:t xml:space="preserve">for Phase 1 </w:t>
            </w:r>
            <w:r>
              <w:rPr>
                <w:rFonts w:asciiTheme="minorHAnsi" w:hAnsiTheme="minorHAnsi" w:cs="Arial"/>
                <w:sz w:val="23"/>
                <w:szCs w:val="23"/>
              </w:rPr>
              <w:t>is for $7,300,000, which is the full anticipated project cost. Administration will only draw on the debenture funds for the project as required.</w:t>
            </w:r>
          </w:p>
          <w:p w14:paraId="370F72D6" w14:textId="32A228B0" w:rsidR="007B7FA7" w:rsidRDefault="007B7FA7" w:rsidP="007B2354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The tax-supported debenture is a 15-year term </w:t>
            </w:r>
            <w:r w:rsidRPr="005A2AD6">
              <w:rPr>
                <w:rFonts w:asciiTheme="minorHAnsi" w:hAnsiTheme="minorHAnsi" w:cs="Arial"/>
                <w:sz w:val="23"/>
                <w:szCs w:val="23"/>
              </w:rPr>
              <w:t>with semi-annual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interest payments. The total interest on the life of the debenture is approximately $1,016,200 and the annual payment is approximately $544,413.</w:t>
            </w:r>
          </w:p>
          <w:p w14:paraId="7DF7554E" w14:textId="77777777" w:rsidR="00407627" w:rsidRPr="00407627" w:rsidRDefault="00407627" w:rsidP="007B2354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407627">
              <w:rPr>
                <w:rFonts w:asciiTheme="minorHAnsi" w:hAnsiTheme="minorHAnsi" w:cs="Arial"/>
                <w:sz w:val="23"/>
                <w:szCs w:val="23"/>
              </w:rPr>
              <w:t>Sturgeon County’s debt limit as of December 31, 2019 per the Municipal Government Act (MGA) is $110,341,380.</w:t>
            </w:r>
          </w:p>
          <w:p w14:paraId="149090A4" w14:textId="77777777" w:rsidR="00407627" w:rsidRPr="00407627" w:rsidRDefault="00407627" w:rsidP="007B2354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407627">
              <w:rPr>
                <w:rFonts w:asciiTheme="minorHAnsi" w:hAnsiTheme="minorHAnsi" w:cs="Arial"/>
                <w:sz w:val="23"/>
                <w:szCs w:val="23"/>
              </w:rPr>
              <w:t>The total outstanding debt principal as of December 31, 2019 is $27,383,965 (audited).</w:t>
            </w:r>
          </w:p>
          <w:p w14:paraId="0909AE6F" w14:textId="77777777" w:rsidR="00407627" w:rsidRPr="00407627" w:rsidRDefault="00407627" w:rsidP="007B2354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407627">
              <w:rPr>
                <w:rFonts w:asciiTheme="minorHAnsi" w:hAnsiTheme="minorHAnsi" w:cs="Arial"/>
                <w:sz w:val="23"/>
                <w:szCs w:val="23"/>
              </w:rPr>
              <w:t xml:space="preserve">Sturgeon County’s debt limit as of December 31, 2020 per the </w:t>
            </w:r>
            <w:r w:rsidRPr="007B2354">
              <w:rPr>
                <w:rFonts w:asciiTheme="minorHAnsi" w:hAnsiTheme="minorHAnsi" w:cs="Arial"/>
                <w:i/>
                <w:iCs/>
                <w:sz w:val="23"/>
                <w:szCs w:val="23"/>
              </w:rPr>
              <w:t>Municipal Government Act</w:t>
            </w:r>
            <w:r w:rsidRPr="00407627">
              <w:rPr>
                <w:rFonts w:asciiTheme="minorHAnsi" w:hAnsiTheme="minorHAnsi" w:cs="Arial"/>
                <w:sz w:val="23"/>
                <w:szCs w:val="23"/>
              </w:rPr>
              <w:t xml:space="preserve"> (MGA) is projected to be $120,834,213 (unaudited) with total long-term debt principal anticipated to be $34,229,692 (unaudited).</w:t>
            </w:r>
          </w:p>
          <w:p w14:paraId="53759D68" w14:textId="0853BF96" w:rsidR="00407627" w:rsidRDefault="00407627" w:rsidP="007B2354">
            <w:pPr>
              <w:pStyle w:val="BodyText"/>
              <w:numPr>
                <w:ilvl w:val="0"/>
                <w:numId w:val="10"/>
              </w:numPr>
              <w:spacing w:after="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407627">
              <w:rPr>
                <w:rFonts w:asciiTheme="minorHAnsi" w:hAnsiTheme="minorHAnsi" w:cs="Arial"/>
                <w:sz w:val="23"/>
                <w:szCs w:val="23"/>
              </w:rPr>
              <w:t xml:space="preserve">Based on the 2020 projected debt limit, the debt </w:t>
            </w:r>
            <w:proofErr w:type="gramStart"/>
            <w:r w:rsidRPr="00407627">
              <w:rPr>
                <w:rFonts w:asciiTheme="minorHAnsi" w:hAnsiTheme="minorHAnsi" w:cs="Arial"/>
                <w:sz w:val="23"/>
                <w:szCs w:val="23"/>
              </w:rPr>
              <w:t>limit</w:t>
            </w:r>
            <w:proofErr w:type="gramEnd"/>
            <w:r w:rsidRPr="00407627">
              <w:rPr>
                <w:rFonts w:asciiTheme="minorHAnsi" w:hAnsiTheme="minorHAnsi" w:cs="Arial"/>
                <w:sz w:val="23"/>
                <w:szCs w:val="23"/>
              </w:rPr>
              <w:t xml:space="preserve"> available within the current fiscal year based on MGA regulations is $86,604,521.</w:t>
            </w:r>
          </w:p>
          <w:p w14:paraId="0FE97FF6" w14:textId="77777777" w:rsidR="007B2354" w:rsidRPr="00407627" w:rsidRDefault="007B2354" w:rsidP="007B2354">
            <w:pPr>
              <w:pStyle w:val="BodyText"/>
              <w:spacing w:after="0" w:line="240" w:lineRule="auto"/>
              <w:ind w:left="357" w:right="0"/>
              <w:rPr>
                <w:rFonts w:asciiTheme="minorHAnsi" w:hAnsiTheme="minorHAnsi" w:cs="Arial"/>
                <w:sz w:val="23"/>
                <w:szCs w:val="23"/>
              </w:rPr>
            </w:pPr>
          </w:p>
          <w:p w14:paraId="36DE06B7" w14:textId="77777777" w:rsidR="00F06FBD" w:rsidRPr="00995A98" w:rsidRDefault="00F06FBD" w:rsidP="007B2354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External Communication</w:t>
            </w:r>
          </w:p>
          <w:p w14:paraId="191EDEF9" w14:textId="3C31D34D" w:rsidR="007B7FA7" w:rsidRPr="00995A98" w:rsidRDefault="007B7FA7" w:rsidP="007B2354">
            <w:pPr>
              <w:pStyle w:val="BodyText"/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The bylaw will be advertised in various media outlets and posted on the Sturgeon County website to provide information to residents and to allow </w:t>
            </w:r>
            <w:r w:rsidR="005B1D97">
              <w:rPr>
                <w:rFonts w:asciiTheme="minorHAnsi" w:hAnsiTheme="minorHAnsi" w:cs="Arial"/>
                <w:sz w:val="23"/>
                <w:szCs w:val="23"/>
              </w:rPr>
              <w:t>residents the opportunity to petition the use of long-term debt funding for this project</w:t>
            </w:r>
            <w:r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67B4CF70" w14:textId="77777777" w:rsidR="00DF392F" w:rsidRPr="00995A98" w:rsidRDefault="00DF392F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</w:p>
          <w:p w14:paraId="1E86F5E6" w14:textId="77777777" w:rsidR="00B1304C" w:rsidRPr="00995A98" w:rsidRDefault="00B1304C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Policy/Legislation/Practices:</w:t>
            </w:r>
          </w:p>
          <w:p w14:paraId="34806C8B" w14:textId="77777777" w:rsidR="007B7FA7" w:rsidRPr="007B7FA7" w:rsidRDefault="007B7FA7" w:rsidP="007B2354">
            <w:pPr>
              <w:pStyle w:val="BodyText"/>
              <w:numPr>
                <w:ilvl w:val="0"/>
                <w:numId w:val="10"/>
              </w:numPr>
              <w:spacing w:after="0" w:line="240" w:lineRule="auto"/>
              <w:ind w:left="357" w:right="0" w:hanging="357"/>
              <w:rPr>
                <w:rFonts w:asciiTheme="minorHAnsi" w:hAnsiTheme="minorHAnsi"/>
                <w:sz w:val="23"/>
                <w:szCs w:val="23"/>
              </w:rPr>
            </w:pPr>
            <w:r w:rsidRPr="009F74EF">
              <w:rPr>
                <w:rFonts w:asciiTheme="minorHAnsi" w:hAnsiTheme="minorHAnsi" w:cs="Arial"/>
                <w:i/>
                <w:iCs/>
                <w:sz w:val="23"/>
                <w:szCs w:val="23"/>
              </w:rPr>
              <w:t>Municipal Government Act</w:t>
            </w:r>
            <w:r>
              <w:rPr>
                <w:rFonts w:asciiTheme="minorHAnsi" w:hAnsiTheme="minorHAnsi" w:cs="Arial"/>
                <w:sz w:val="23"/>
                <w:szCs w:val="23"/>
              </w:rPr>
              <w:t>, RSA 2000 c.M-26</w:t>
            </w:r>
          </w:p>
          <w:p w14:paraId="40B9D89A" w14:textId="490734C6" w:rsidR="00892A3C" w:rsidRPr="007B7FA7" w:rsidRDefault="007B7FA7" w:rsidP="007B2354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/>
                <w:sz w:val="23"/>
                <w:szCs w:val="23"/>
              </w:rPr>
            </w:pPr>
            <w:r w:rsidRPr="007B7FA7">
              <w:rPr>
                <w:rFonts w:asciiTheme="minorHAnsi" w:hAnsiTheme="minorHAnsi" w:cs="Arial"/>
                <w:sz w:val="23"/>
                <w:szCs w:val="23"/>
              </w:rPr>
              <w:t>Debt Management Policy</w:t>
            </w:r>
          </w:p>
        </w:tc>
      </w:tr>
      <w:tr w:rsidR="00546220" w:rsidRPr="00995A98" w14:paraId="1EC672DA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995A98" w:rsidRDefault="00546220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72A440FC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D237DC" w:rsidRPr="00995A98" w:rsidRDefault="00D237DC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3BCBB8E" w14:textId="77777777" w:rsidR="00D237DC" w:rsidRPr="00995A98" w:rsidRDefault="00D237DC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</w:p>
          <w:p w14:paraId="7A9A7F74" w14:textId="5967BD08" w:rsidR="007B7FA7" w:rsidRPr="00995A98" w:rsidRDefault="007B7FA7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Planned Growth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and Prosperity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– </w:t>
            </w:r>
            <w:r w:rsidR="008963AC">
              <w:rPr>
                <w:rFonts w:asciiTheme="minorHAnsi" w:hAnsiTheme="minorHAnsi"/>
                <w:sz w:val="23"/>
                <w:szCs w:val="23"/>
              </w:rPr>
              <w:t>R</w:t>
            </w:r>
            <w:r>
              <w:rPr>
                <w:rFonts w:asciiTheme="minorHAnsi" w:hAnsiTheme="minorHAnsi"/>
                <w:sz w:val="23"/>
                <w:szCs w:val="23"/>
              </w:rPr>
              <w:t>eliable broadband is a driver for global economic competitiveness, enabling the attraction and retention of business and skilled workers.</w:t>
            </w:r>
          </w:p>
          <w:p w14:paraId="141888F1" w14:textId="77777777" w:rsidR="007B7FA7" w:rsidRPr="00995A98" w:rsidRDefault="007B7FA7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0C4A4C83" w14:textId="50E2D3BD" w:rsidR="007B7FA7" w:rsidRPr="00995A98" w:rsidRDefault="007B7FA7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Maintain and Enhance Strong Communities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– </w:t>
            </w:r>
            <w:r w:rsidR="008963AC">
              <w:rPr>
                <w:rFonts w:asciiTheme="minorHAnsi" w:hAnsiTheme="minorHAnsi"/>
                <w:sz w:val="23"/>
                <w:szCs w:val="23"/>
              </w:rPr>
              <w:t>T</w:t>
            </w:r>
            <w:r w:rsidR="00380EBA">
              <w:rPr>
                <w:rFonts w:asciiTheme="minorHAnsi" w:hAnsiTheme="minorHAnsi"/>
                <w:sz w:val="23"/>
                <w:szCs w:val="23"/>
              </w:rPr>
              <w:t xml:space="preserve">he </w:t>
            </w:r>
            <w:r w:rsidR="004F21B9">
              <w:rPr>
                <w:rFonts w:asciiTheme="minorHAnsi" w:hAnsiTheme="minorHAnsi"/>
                <w:sz w:val="23"/>
                <w:szCs w:val="23"/>
              </w:rPr>
              <w:t>majority of Sturgeon County citizens and businesses require reliable broadband to work, learn, access health care services, conduct business, and communicate with others.</w:t>
            </w:r>
          </w:p>
          <w:p w14:paraId="1965F198" w14:textId="77777777" w:rsidR="007B7FA7" w:rsidRPr="00995A98" w:rsidRDefault="007B7FA7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46C96F18" w14:textId="77777777" w:rsidR="00D237DC" w:rsidRPr="00995A98" w:rsidRDefault="00D237DC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38B7B8D2" w14:textId="2944D3D3" w:rsidR="00D237DC" w:rsidRPr="00995A98" w:rsidRDefault="004F21B9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Administration will implement the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 xml:space="preserve"> first phase of the County’s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>Br</w:t>
            </w:r>
            <w:r>
              <w:rPr>
                <w:rFonts w:asciiTheme="minorHAnsi" w:hAnsiTheme="minorHAnsi" w:cs="Arial"/>
                <w:sz w:val="23"/>
                <w:szCs w:val="23"/>
              </w:rPr>
              <w:t>oadband</w:t>
            </w:r>
            <w:r w:rsidR="00EB1E5B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>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trategy through the 2021 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>C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apital 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>P</w:t>
            </w:r>
            <w:r>
              <w:rPr>
                <w:rFonts w:asciiTheme="minorHAnsi" w:hAnsiTheme="minorHAnsi" w:cs="Arial"/>
                <w:sz w:val="23"/>
                <w:szCs w:val="23"/>
              </w:rPr>
              <w:t>lan.</w:t>
            </w:r>
          </w:p>
          <w:p w14:paraId="66D1055E" w14:textId="77777777" w:rsidR="00D237DC" w:rsidRPr="00995A98" w:rsidRDefault="00D237DC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7BC7CED9" w14:textId="77777777" w:rsidR="00D237DC" w:rsidRPr="00995A98" w:rsidRDefault="00D237DC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26C9CF45" w14:textId="3308EC69" w:rsidR="004F21B9" w:rsidRDefault="004F21B9" w:rsidP="007B2354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The Debenture Bylaw request is for $7,300,000.</w:t>
            </w:r>
          </w:p>
          <w:p w14:paraId="27216362" w14:textId="77777777" w:rsidR="004F21B9" w:rsidRDefault="004F21B9" w:rsidP="007B2354">
            <w:pPr>
              <w:pStyle w:val="BodyText"/>
              <w:numPr>
                <w:ilvl w:val="0"/>
                <w:numId w:val="10"/>
              </w:numPr>
              <w:spacing w:after="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lastRenderedPageBreak/>
              <w:t>The current interest rate for a 15-year debenture is anticipated to be 1.725%.</w:t>
            </w:r>
          </w:p>
          <w:p w14:paraId="46EE6DDC" w14:textId="77777777" w:rsidR="004F21B9" w:rsidRDefault="004F21B9" w:rsidP="007B2354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7"/>
              <w:rPr>
                <w:rFonts w:asciiTheme="minorHAnsi" w:hAnsiTheme="minorHAnsi" w:cs="Arial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59"/>
              <w:gridCol w:w="1710"/>
              <w:gridCol w:w="1559"/>
              <w:gridCol w:w="1448"/>
            </w:tblGrid>
            <w:tr w:rsidR="004F21B9" w14:paraId="093908D3" w14:textId="77777777" w:rsidTr="007B2354">
              <w:trPr>
                <w:jc w:val="center"/>
              </w:trPr>
              <w:tc>
                <w:tcPr>
                  <w:tcW w:w="1959" w:type="dxa"/>
                </w:tcPr>
                <w:p w14:paraId="43F960CC" w14:textId="77777777" w:rsidR="004F21B9" w:rsidRPr="00D025C4" w:rsidRDefault="004F21B9" w:rsidP="007B2354">
                  <w:pPr>
                    <w:tabs>
                      <w:tab w:val="left" w:pos="3240"/>
                      <w:tab w:val="right" w:pos="6318"/>
                      <w:tab w:val="left" w:pos="6474"/>
                      <w:tab w:val="right" w:pos="8460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Project</w:t>
                  </w:r>
                </w:p>
              </w:tc>
              <w:tc>
                <w:tcPr>
                  <w:tcW w:w="1710" w:type="dxa"/>
                </w:tcPr>
                <w:p w14:paraId="51033DB6" w14:textId="77777777" w:rsidR="004F21B9" w:rsidRPr="00D025C4" w:rsidRDefault="004F21B9" w:rsidP="007B2354">
                  <w:pPr>
                    <w:tabs>
                      <w:tab w:val="left" w:pos="3240"/>
                      <w:tab w:val="right" w:pos="6318"/>
                      <w:tab w:val="left" w:pos="6474"/>
                      <w:tab w:val="right" w:pos="8460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Debenture</w:t>
                  </w:r>
                </w:p>
              </w:tc>
              <w:tc>
                <w:tcPr>
                  <w:tcW w:w="1559" w:type="dxa"/>
                </w:tcPr>
                <w:p w14:paraId="04635386" w14:textId="77777777" w:rsidR="004F21B9" w:rsidRPr="00D025C4" w:rsidRDefault="004F21B9" w:rsidP="007B2354">
                  <w:pPr>
                    <w:tabs>
                      <w:tab w:val="left" w:pos="3240"/>
                      <w:tab w:val="right" w:pos="6318"/>
                      <w:tab w:val="left" w:pos="6474"/>
                      <w:tab w:val="right" w:pos="8460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Total Interest (15-Years)</w:t>
                  </w:r>
                </w:p>
              </w:tc>
              <w:tc>
                <w:tcPr>
                  <w:tcW w:w="1448" w:type="dxa"/>
                </w:tcPr>
                <w:p w14:paraId="7187FE70" w14:textId="77777777" w:rsidR="004F21B9" w:rsidRPr="00D025C4" w:rsidRDefault="004F21B9" w:rsidP="007B2354">
                  <w:pPr>
                    <w:tabs>
                      <w:tab w:val="left" w:pos="3240"/>
                      <w:tab w:val="right" w:pos="6318"/>
                      <w:tab w:val="left" w:pos="6474"/>
                      <w:tab w:val="right" w:pos="8460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Annual Payment (15-Years)</w:t>
                  </w:r>
                </w:p>
              </w:tc>
            </w:tr>
            <w:tr w:rsidR="004F21B9" w14:paraId="00C71639" w14:textId="77777777" w:rsidTr="007B2354">
              <w:trPr>
                <w:jc w:val="center"/>
              </w:trPr>
              <w:tc>
                <w:tcPr>
                  <w:tcW w:w="1959" w:type="dxa"/>
                </w:tcPr>
                <w:p w14:paraId="6C143D1F" w14:textId="14BE3D0E" w:rsidR="004F21B9" w:rsidRDefault="004F21B9" w:rsidP="007B2354">
                  <w:pPr>
                    <w:tabs>
                      <w:tab w:val="left" w:pos="3240"/>
                      <w:tab w:val="right" w:pos="6318"/>
                      <w:tab w:val="left" w:pos="6474"/>
                      <w:tab w:val="right" w:pos="8460"/>
                    </w:tabs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 xml:space="preserve">Broadband </w:t>
                  </w:r>
                  <w:r w:rsidR="0009469D">
                    <w:rPr>
                      <w:rFonts w:asciiTheme="minorHAnsi" w:hAnsiTheme="minorHAnsi" w:cs="Arial"/>
                      <w:sz w:val="23"/>
                      <w:szCs w:val="23"/>
                    </w:rPr>
                    <w:t>Infrastructure</w:t>
                  </w:r>
                  <w:r w:rsidR="00C41462">
                    <w:rPr>
                      <w:rFonts w:asciiTheme="minorHAnsi" w:hAnsiTheme="minorHAnsi" w:cs="Arial"/>
                      <w:sz w:val="23"/>
                      <w:szCs w:val="23"/>
                    </w:rPr>
                    <w:t xml:space="preserve"> – Phase 1</w:t>
                  </w:r>
                </w:p>
                <w:p w14:paraId="5F79D07C" w14:textId="77777777" w:rsidR="004F21B9" w:rsidRDefault="004F21B9" w:rsidP="007B2354">
                  <w:pPr>
                    <w:tabs>
                      <w:tab w:val="left" w:pos="3240"/>
                      <w:tab w:val="right" w:pos="6318"/>
                      <w:tab w:val="left" w:pos="6474"/>
                      <w:tab w:val="right" w:pos="8460"/>
                    </w:tabs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</w:p>
              </w:tc>
              <w:tc>
                <w:tcPr>
                  <w:tcW w:w="1710" w:type="dxa"/>
                </w:tcPr>
                <w:p w14:paraId="5F40198F" w14:textId="192F0AC7" w:rsidR="004F21B9" w:rsidRDefault="004F21B9" w:rsidP="007B2354">
                  <w:pPr>
                    <w:tabs>
                      <w:tab w:val="left" w:pos="3240"/>
                      <w:tab w:val="right" w:pos="6318"/>
                      <w:tab w:val="left" w:pos="6474"/>
                      <w:tab w:val="right" w:pos="8460"/>
                    </w:tabs>
                    <w:jc w:val="center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>$7,300,000</w:t>
                  </w:r>
                </w:p>
              </w:tc>
              <w:tc>
                <w:tcPr>
                  <w:tcW w:w="1559" w:type="dxa"/>
                </w:tcPr>
                <w:p w14:paraId="39216E19" w14:textId="71081477" w:rsidR="004F21B9" w:rsidRDefault="004F21B9" w:rsidP="007B2354">
                  <w:pPr>
                    <w:tabs>
                      <w:tab w:val="left" w:pos="3240"/>
                      <w:tab w:val="right" w:pos="6318"/>
                      <w:tab w:val="left" w:pos="6474"/>
                      <w:tab w:val="right" w:pos="8460"/>
                    </w:tabs>
                    <w:jc w:val="center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>$1,016,200</w:t>
                  </w:r>
                </w:p>
              </w:tc>
              <w:tc>
                <w:tcPr>
                  <w:tcW w:w="1448" w:type="dxa"/>
                </w:tcPr>
                <w:p w14:paraId="5289852E" w14:textId="77215FBB" w:rsidR="004F21B9" w:rsidRDefault="004F21B9" w:rsidP="007B2354">
                  <w:pPr>
                    <w:tabs>
                      <w:tab w:val="left" w:pos="3240"/>
                      <w:tab w:val="right" w:pos="6318"/>
                      <w:tab w:val="left" w:pos="6474"/>
                      <w:tab w:val="right" w:pos="8460"/>
                    </w:tabs>
                    <w:jc w:val="center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>$544,413</w:t>
                  </w:r>
                </w:p>
              </w:tc>
            </w:tr>
          </w:tbl>
          <w:p w14:paraId="1BED1DFD" w14:textId="77777777" w:rsidR="00D237DC" w:rsidRPr="00995A98" w:rsidRDefault="00D237DC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95A98" w:rsidRPr="00995A98" w14:paraId="2BCE6B63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995A98" w:rsidRDefault="00995A98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37FC6622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8FA8C68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  <w:p w14:paraId="2EE94AA6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32FCEF17" w:rsidR="00D237DC" w:rsidRPr="00995A98" w:rsidRDefault="004F21B9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Council </w:t>
            </w:r>
            <w:r w:rsidR="005B1D97">
              <w:rPr>
                <w:rFonts w:asciiTheme="minorHAnsi" w:hAnsiTheme="minorHAnsi" w:cs="Arial"/>
                <w:sz w:val="23"/>
                <w:szCs w:val="23"/>
              </w:rPr>
              <w:t>may</w:t>
            </w:r>
            <w:r w:rsidR="00EE7BAF">
              <w:rPr>
                <w:rFonts w:asciiTheme="minorHAnsi" w:hAnsiTheme="minorHAnsi" w:cs="Arial"/>
                <w:sz w:val="23"/>
                <w:szCs w:val="23"/>
              </w:rPr>
              <w:t xml:space="preserve"> defeat the </w:t>
            </w:r>
            <w:r w:rsidR="008963AC">
              <w:rPr>
                <w:rFonts w:asciiTheme="minorHAnsi" w:hAnsiTheme="minorHAnsi" w:cs="Arial"/>
                <w:sz w:val="23"/>
                <w:szCs w:val="23"/>
              </w:rPr>
              <w:t>B</w:t>
            </w:r>
            <w:r w:rsidR="00EE7BAF">
              <w:rPr>
                <w:rFonts w:asciiTheme="minorHAnsi" w:hAnsiTheme="minorHAnsi" w:cs="Arial"/>
                <w:sz w:val="23"/>
                <w:szCs w:val="23"/>
              </w:rPr>
              <w:t xml:space="preserve">ylaw and not proceed with the </w:t>
            </w:r>
            <w:r w:rsidR="00AA0958">
              <w:rPr>
                <w:rFonts w:asciiTheme="minorHAnsi" w:hAnsiTheme="minorHAnsi" w:cs="Arial"/>
                <w:sz w:val="23"/>
                <w:szCs w:val="23"/>
              </w:rPr>
              <w:t xml:space="preserve">infrastructure investment necessary to support the </w:t>
            </w:r>
            <w:r w:rsidR="00EE7BAF">
              <w:rPr>
                <w:rFonts w:asciiTheme="minorHAnsi" w:hAnsiTheme="minorHAnsi" w:cs="Arial"/>
                <w:sz w:val="23"/>
                <w:szCs w:val="23"/>
              </w:rPr>
              <w:t>B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roadband </w:t>
            </w:r>
            <w:r w:rsidR="00EE7BAF">
              <w:rPr>
                <w:rFonts w:asciiTheme="minorHAnsi" w:hAnsiTheme="minorHAnsi" w:cs="Arial"/>
                <w:sz w:val="23"/>
                <w:szCs w:val="23"/>
              </w:rPr>
              <w:t xml:space="preserve">Initiative </w:t>
            </w:r>
            <w:r w:rsidR="00AA0958">
              <w:rPr>
                <w:rFonts w:asciiTheme="minorHAnsi" w:hAnsiTheme="minorHAnsi" w:cs="Arial"/>
                <w:sz w:val="23"/>
                <w:szCs w:val="23"/>
              </w:rPr>
              <w:t>project</w:t>
            </w:r>
            <w:r w:rsidR="00FA6ADD">
              <w:rPr>
                <w:rFonts w:asciiTheme="minorHAnsi" w:hAnsiTheme="minorHAnsi" w:cs="Arial"/>
                <w:sz w:val="23"/>
                <w:szCs w:val="23"/>
              </w:rPr>
              <w:t xml:space="preserve"> until alternative financing options </w:t>
            </w:r>
            <w:r w:rsidR="00380EBA">
              <w:rPr>
                <w:rFonts w:asciiTheme="minorHAnsi" w:hAnsiTheme="minorHAnsi" w:cs="Arial"/>
                <w:sz w:val="23"/>
                <w:szCs w:val="23"/>
              </w:rPr>
              <w:t xml:space="preserve">can be </w:t>
            </w:r>
            <w:r w:rsidR="00FA6ADD">
              <w:rPr>
                <w:rFonts w:asciiTheme="minorHAnsi" w:hAnsiTheme="minorHAnsi" w:cs="Arial"/>
                <w:sz w:val="23"/>
                <w:szCs w:val="23"/>
              </w:rPr>
              <w:t>explored.</w:t>
            </w:r>
          </w:p>
        </w:tc>
      </w:tr>
      <w:tr w:rsidR="00D237DC" w:rsidRPr="00995A98" w14:paraId="34549706" w14:textId="77777777" w:rsidTr="00E90696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77777777" w:rsidR="00D237DC" w:rsidRPr="00995A98" w:rsidRDefault="00D237DC" w:rsidP="007B2354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22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237DC" w:rsidRPr="00995A98" w14:paraId="354C8815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8B7A26E" w14:textId="77777777" w:rsidR="00D237DC" w:rsidRPr="00995A98" w:rsidRDefault="00D237DC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34DE23D0" w14:textId="68121498" w:rsidR="00D237DC" w:rsidRPr="00FA6ADD" w:rsidRDefault="00FA6ADD" w:rsidP="007B2354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7B2354">
              <w:rPr>
                <w:rFonts w:asciiTheme="minorHAnsi" w:hAnsiTheme="minorHAnsi"/>
                <w:b/>
                <w:bCs/>
                <w:sz w:val="23"/>
                <w:szCs w:val="23"/>
              </w:rPr>
              <w:t>Strong Local and Regional Governance</w:t>
            </w:r>
            <w:r w:rsidRPr="00FA6ADD">
              <w:rPr>
                <w:rFonts w:asciiTheme="minorHAnsi" w:hAnsiTheme="minorHAnsi"/>
                <w:sz w:val="23"/>
                <w:szCs w:val="23"/>
              </w:rPr>
              <w:t xml:space="preserve"> – Deferral of the project until </w:t>
            </w:r>
            <w:r>
              <w:rPr>
                <w:rFonts w:asciiTheme="minorHAnsi" w:hAnsiTheme="minorHAnsi"/>
                <w:sz w:val="23"/>
                <w:szCs w:val="23"/>
              </w:rPr>
              <w:t>alternative partnership or financing options c</w:t>
            </w:r>
            <w:r w:rsidR="008963AC">
              <w:rPr>
                <w:rFonts w:asciiTheme="minorHAnsi" w:hAnsiTheme="minorHAnsi"/>
                <w:sz w:val="23"/>
                <w:szCs w:val="23"/>
              </w:rPr>
              <w:t>ould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be explored would </w:t>
            </w:r>
            <w:r w:rsidR="008963AC">
              <w:rPr>
                <w:rFonts w:asciiTheme="minorHAnsi" w:hAnsiTheme="minorHAnsi"/>
                <w:sz w:val="23"/>
                <w:szCs w:val="23"/>
              </w:rPr>
              <w:t>negate the need to borrow funds</w:t>
            </w:r>
            <w:r w:rsidRPr="00FA6ADD">
              <w:rPr>
                <w:rFonts w:asciiTheme="minorHAnsi" w:hAnsiTheme="minorHAnsi"/>
                <w:sz w:val="23"/>
                <w:szCs w:val="23"/>
              </w:rPr>
              <w:t xml:space="preserve">. However, delays </w:t>
            </w:r>
            <w:r w:rsidR="00997C12">
              <w:rPr>
                <w:rFonts w:asciiTheme="minorHAnsi" w:hAnsiTheme="minorHAnsi"/>
                <w:sz w:val="23"/>
                <w:szCs w:val="23"/>
              </w:rPr>
              <w:t>w</w:t>
            </w:r>
            <w:r w:rsidRPr="00FA6ADD">
              <w:rPr>
                <w:rFonts w:asciiTheme="minorHAnsi" w:hAnsiTheme="minorHAnsi"/>
                <w:sz w:val="23"/>
                <w:szCs w:val="23"/>
              </w:rPr>
              <w:t xml:space="preserve">ould result in a loss of momentum </w:t>
            </w:r>
            <w:r>
              <w:rPr>
                <w:rFonts w:asciiTheme="minorHAnsi" w:hAnsiTheme="minorHAnsi"/>
                <w:sz w:val="23"/>
                <w:szCs w:val="23"/>
              </w:rPr>
              <w:t>in broadband development throughout the County.</w:t>
            </w:r>
          </w:p>
          <w:p w14:paraId="374C6E8F" w14:textId="77777777" w:rsidR="00FA6ADD" w:rsidRPr="00FA6ADD" w:rsidRDefault="00FA6ADD" w:rsidP="007B2354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60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  <w:p w14:paraId="4910C086" w14:textId="77777777" w:rsidR="00D237DC" w:rsidRPr="00995A98" w:rsidRDefault="00D237DC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22B6A5FB" w14:textId="6E708E9E" w:rsidR="00D237DC" w:rsidRPr="00995A98" w:rsidRDefault="004F21B9" w:rsidP="007B2354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7" w:hanging="357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Administration w</w:t>
            </w:r>
            <w:r w:rsidR="008963AC">
              <w:rPr>
                <w:rFonts w:asciiTheme="minorHAnsi" w:hAnsiTheme="minorHAnsi"/>
                <w:sz w:val="23"/>
                <w:szCs w:val="23"/>
              </w:rPr>
              <w:t>ould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not implement the </w:t>
            </w:r>
            <w:r w:rsidR="008963AC">
              <w:rPr>
                <w:rFonts w:asciiTheme="minorHAnsi" w:hAnsiTheme="minorHAnsi"/>
                <w:sz w:val="23"/>
                <w:szCs w:val="23"/>
              </w:rPr>
              <w:t>first phase of the County’s Broadband Strategy in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the 2021 </w:t>
            </w:r>
            <w:r w:rsidR="008963AC">
              <w:rPr>
                <w:rFonts w:asciiTheme="minorHAnsi" w:hAnsiTheme="minorHAnsi"/>
                <w:sz w:val="23"/>
                <w:szCs w:val="23"/>
              </w:rPr>
              <w:t>C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apital </w:t>
            </w:r>
            <w:r w:rsidR="008963AC">
              <w:rPr>
                <w:rFonts w:asciiTheme="minorHAnsi" w:hAnsiTheme="minorHAnsi"/>
                <w:sz w:val="23"/>
                <w:szCs w:val="23"/>
              </w:rPr>
              <w:t>P</w:t>
            </w:r>
            <w:r>
              <w:rPr>
                <w:rFonts w:asciiTheme="minorHAnsi" w:hAnsiTheme="minorHAnsi"/>
                <w:sz w:val="23"/>
                <w:szCs w:val="23"/>
              </w:rPr>
              <w:t>lan.</w:t>
            </w:r>
          </w:p>
          <w:p w14:paraId="540A44BB" w14:textId="77777777" w:rsidR="00D237DC" w:rsidRPr="00995A98" w:rsidRDefault="00D237DC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  <w:p w14:paraId="28FB9CC4" w14:textId="77777777" w:rsidR="00D237DC" w:rsidRPr="00995A98" w:rsidRDefault="00D237DC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555191A0" w14:textId="328C65D4" w:rsidR="00D237DC" w:rsidRPr="00995A98" w:rsidRDefault="005B1D97" w:rsidP="007B2354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An alternative funding source would be necessary if debt funding is not supported.</w:t>
            </w:r>
          </w:p>
        </w:tc>
      </w:tr>
      <w:tr w:rsidR="006023C3" w:rsidRPr="00995A98" w14:paraId="3E537BB0" w14:textId="77777777" w:rsidTr="004F21B9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995A98" w:rsidRDefault="006023C3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25034931" w14:textId="77777777" w:rsidTr="004F21B9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CE568" w14:textId="77777777" w:rsidR="00323978" w:rsidRPr="00995A98" w:rsidRDefault="00323978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62C8E7" w14:textId="09EB215A" w:rsidR="004F21B9" w:rsidRDefault="004F21B9" w:rsidP="007B2354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1. </w:t>
            </w:r>
            <w:r w:rsidR="008963AC">
              <w:rPr>
                <w:rFonts w:asciiTheme="minorHAnsi" w:hAnsiTheme="minorHAnsi"/>
                <w:sz w:val="23"/>
                <w:szCs w:val="23"/>
              </w:rPr>
              <w:t>Advertise the Bylaw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in various media outlets and on the Sturgeon County website</w:t>
            </w:r>
            <w:r w:rsidR="008963AC">
              <w:rPr>
                <w:rFonts w:asciiTheme="minorHAnsi" w:hAnsiTheme="minorHAnsi"/>
                <w:sz w:val="23"/>
                <w:szCs w:val="23"/>
              </w:rPr>
              <w:t xml:space="preserve"> (Financial Services and Corporate Communications). </w:t>
            </w:r>
          </w:p>
          <w:p w14:paraId="20C1FE45" w14:textId="77777777" w:rsidR="004F21B9" w:rsidRPr="00CE5156" w:rsidRDefault="004F21B9" w:rsidP="007B2354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  <w:p w14:paraId="0724ACBB" w14:textId="7A128BC8" w:rsidR="00323978" w:rsidRPr="00995A98" w:rsidRDefault="004F21B9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2. </w:t>
            </w:r>
            <w:r w:rsidR="008963AC">
              <w:rPr>
                <w:rFonts w:asciiTheme="minorHAnsi" w:hAnsiTheme="minorHAnsi"/>
                <w:sz w:val="23"/>
                <w:szCs w:val="23"/>
              </w:rPr>
              <w:t xml:space="preserve">Bring the </w:t>
            </w:r>
            <w:r>
              <w:rPr>
                <w:rFonts w:asciiTheme="minorHAnsi" w:hAnsiTheme="minorHAnsi"/>
                <w:sz w:val="23"/>
                <w:szCs w:val="23"/>
              </w:rPr>
              <w:t>Bylaw to Council for consideration of second and third reading at the April 27, 2021 Regular Council Meeting</w:t>
            </w:r>
            <w:r w:rsidR="008963AC">
              <w:rPr>
                <w:rFonts w:asciiTheme="minorHAnsi" w:hAnsiTheme="minorHAnsi"/>
                <w:sz w:val="23"/>
                <w:szCs w:val="23"/>
              </w:rPr>
              <w:t xml:space="preserve"> (Financial Services). </w:t>
            </w:r>
          </w:p>
        </w:tc>
      </w:tr>
      <w:tr w:rsidR="00CC0A5D" w:rsidRPr="00995A98" w14:paraId="6935042E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62BC3473" w14:textId="77777777" w:rsidR="00CC0A5D" w:rsidRPr="00995A98" w:rsidRDefault="00CC0A5D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5F8BA5DB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4CA7F2F6" w14:textId="26EDA4A7" w:rsidR="004F21B9" w:rsidRDefault="004F21B9" w:rsidP="007B2354">
            <w:pPr>
              <w:numPr>
                <w:ilvl w:val="0"/>
                <w:numId w:val="2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Bylaw 1530/21</w:t>
            </w:r>
          </w:p>
          <w:p w14:paraId="0A91A9EC" w14:textId="77777777" w:rsidR="004F21B9" w:rsidRDefault="004F21B9" w:rsidP="007B2354">
            <w:pPr>
              <w:numPr>
                <w:ilvl w:val="0"/>
                <w:numId w:val="2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Debt Management Policy</w:t>
            </w:r>
          </w:p>
          <w:p w14:paraId="2011A24A" w14:textId="055E37DC" w:rsidR="00323978" w:rsidRPr="004F21B9" w:rsidRDefault="004F21B9" w:rsidP="007B2354">
            <w:pPr>
              <w:numPr>
                <w:ilvl w:val="0"/>
                <w:numId w:val="2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4F21B9">
              <w:rPr>
                <w:rFonts w:asciiTheme="minorHAnsi" w:hAnsiTheme="minorHAnsi" w:cs="Arial"/>
                <w:sz w:val="23"/>
                <w:szCs w:val="23"/>
              </w:rPr>
              <w:t>Reserve Policy</w:t>
            </w:r>
          </w:p>
        </w:tc>
      </w:tr>
      <w:tr w:rsidR="00323978" w:rsidRPr="00995A98" w14:paraId="56199574" w14:textId="77777777" w:rsidTr="00907A1B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995A98" w:rsidRDefault="00323978" w:rsidP="007B235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476BD852" w14:textId="77777777" w:rsidTr="00907A1B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9DF8FBB" w14:textId="77777777" w:rsidR="004F21B9" w:rsidRDefault="004F21B9" w:rsidP="007B2354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0099C25E" w14:textId="77777777" w:rsidR="004F21B9" w:rsidRDefault="004F21B9" w:rsidP="007B2354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Sabrina Duquette, Acting Manager, Financial Services</w:t>
            </w:r>
          </w:p>
          <w:p w14:paraId="25C243ED" w14:textId="77777777" w:rsidR="004F21B9" w:rsidRDefault="004F21B9" w:rsidP="007B2354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23AE4291" w14:textId="77777777" w:rsidR="00EE7BAF" w:rsidRDefault="00EE7BAF" w:rsidP="007B2354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0C1D57">
              <w:rPr>
                <w:rFonts w:asciiTheme="minorHAnsi" w:hAnsiTheme="minorHAnsi"/>
                <w:sz w:val="23"/>
                <w:szCs w:val="23"/>
              </w:rPr>
              <w:t>Dawn Sauvé, Director, Financial, Assessment and Procurement Services</w:t>
            </w:r>
          </w:p>
          <w:p w14:paraId="34C27890" w14:textId="77777777" w:rsidR="004F21B9" w:rsidRDefault="004F21B9" w:rsidP="007B2354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18DBE84F" w14:textId="6E7932E1" w:rsidR="00323978" w:rsidRPr="00995A98" w:rsidRDefault="004F21B9" w:rsidP="007B2354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Reegan McCullough, County Commissioner – CAO</w:t>
            </w:r>
          </w:p>
        </w:tc>
      </w:tr>
    </w:tbl>
    <w:p w14:paraId="0F568F6B" w14:textId="77777777" w:rsidR="005201F1" w:rsidRPr="00C52FA7" w:rsidRDefault="00E979B7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E23B16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</w:t>
            </w:r>
            <w:proofErr w:type="gramStart"/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economic</w:t>
            </w:r>
            <w:proofErr w:type="gramEnd"/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  <w:p w14:paraId="17496903" w14:textId="77777777" w:rsidR="008675A1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16CD12F6" w:rsidR="008675A1" w:rsidRPr="00995A98" w:rsidRDefault="004F21B9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8675A1" w:rsidRPr="00995A98" w14:paraId="04C95C7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5D82050C" w:rsidR="008675A1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61DF51CC" w:rsidR="008675A1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6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7E42F4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142F396D" w:rsidR="007E42F4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3FEB9009" w:rsidR="007E42F4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</w:t>
            </w:r>
            <w:proofErr w:type="gramStart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proofErr w:type="gramEnd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3F7AA5D8" w:rsidR="00290B0D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4060DCDA" w:rsidR="00290B0D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45A3DE52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2216EAC2" w:rsidR="00290B0D" w:rsidRDefault="004F21B9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bookmarkEnd w:id="6"/>
      <w:tr w:rsidR="007E42F4" w:rsidRPr="00995A98" w14:paraId="4F8E299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</w:t>
            </w:r>
            <w:proofErr w:type="gramStart"/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are</w:t>
            </w:r>
            <w:proofErr w:type="gramEnd"/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</w:t>
            </w:r>
          </w:p>
          <w:p w14:paraId="20F86BC8" w14:textId="77777777" w:rsidR="00C805A9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55BE553D" w:rsidR="007E42F4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7060A5D5" w:rsidR="007E42F4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7899C2B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54E4C084" w:rsidR="007E42F4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5BF7B9D3" w:rsidR="007E42F4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43439B" w:rsidRPr="00995A98" w14:paraId="0C92938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462AA5A4" w:rsidR="0043439B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28CE5FD7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0A6D69A3" w:rsidR="007E42F4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20F65F0C" w:rsidR="007E42F4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4B9E5E78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1120DCD1" w:rsidR="005201F1" w:rsidRPr="00995A98" w:rsidRDefault="00FC6F44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47A26B0B" w:rsidR="005201F1" w:rsidRPr="00995A98" w:rsidRDefault="00FC6F44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5680E6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7082BE0B" w:rsidR="005201F1" w:rsidRPr="00995A98" w:rsidRDefault="0041392C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1FD75943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1736A39A" w:rsidR="005201F1" w:rsidRPr="00995A98" w:rsidRDefault="00FC6F44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69FEB527" w:rsidR="005201F1" w:rsidRPr="00995A98" w:rsidRDefault="00FC6F44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66E39DEE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E23B16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2316FCD6" w:rsidR="005201F1" w:rsidRPr="00995A98" w:rsidRDefault="00FC6F44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3D0CF6A0" w:rsidR="005201F1" w:rsidRPr="00995A98" w:rsidRDefault="00FC6F44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0B6C3DA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757DE13C" w:rsidR="0068496D" w:rsidRPr="00995A98" w:rsidRDefault="0041392C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339F501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38F8494B" w:rsidR="0068496D" w:rsidRPr="00995A98" w:rsidRDefault="0041392C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2B97C78C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4F92C013" w:rsidR="0068496D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01D089B3" w:rsidR="0068496D" w:rsidRPr="00995A98" w:rsidRDefault="00FC6F4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5198E1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3F9D4F9E" w:rsidR="005201F1" w:rsidRPr="00995A98" w:rsidRDefault="0041392C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0CFD47A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E23B16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6A2408DD" w:rsidR="005201F1" w:rsidRPr="00995A98" w:rsidRDefault="0041392C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174F1" w:rsidRPr="00995A98" w14:paraId="7AE9908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9618C8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3AA6852C" w:rsidR="00A174F1" w:rsidRPr="00995A98" w:rsidRDefault="0041392C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27BE24E" w14:textId="77777777" w:rsidR="00E93F6A" w:rsidRPr="00995A98" w:rsidRDefault="00E93F6A" w:rsidP="00995A98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E6516" w14:textId="77777777" w:rsidR="0028032D" w:rsidRDefault="0028032D">
      <w:r>
        <w:separator/>
      </w:r>
    </w:p>
  </w:endnote>
  <w:endnote w:type="continuationSeparator" w:id="0">
    <w:p w14:paraId="534152A5" w14:textId="77777777" w:rsidR="0028032D" w:rsidRDefault="0028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302D" w14:textId="4957CF23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4F21B9">
      <w:rPr>
        <w:rFonts w:asciiTheme="minorHAnsi" w:hAnsiTheme="minorHAnsi"/>
        <w:b w:val="0"/>
        <w:bCs/>
        <w:color w:val="999999"/>
        <w:sz w:val="20"/>
      </w:rPr>
      <w:t>January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</w:t>
    </w:r>
    <w:r w:rsidR="004F21B9">
      <w:rPr>
        <w:rFonts w:asciiTheme="minorHAnsi" w:hAnsiTheme="minorHAnsi"/>
        <w:b w:val="0"/>
        <w:bCs/>
        <w:color w:val="999999"/>
        <w:sz w:val="20"/>
      </w:rPr>
      <w:t>29</w:t>
    </w:r>
    <w:r w:rsidR="00995A98">
      <w:rPr>
        <w:rFonts w:asciiTheme="minorHAnsi" w:hAnsiTheme="minorHAnsi"/>
        <w:b w:val="0"/>
        <w:bCs/>
        <w:color w:val="999999"/>
        <w:sz w:val="20"/>
      </w:rPr>
      <w:t>, 20</w:t>
    </w:r>
    <w:r w:rsidR="004F21B9">
      <w:rPr>
        <w:rFonts w:asciiTheme="minorHAnsi" w:hAnsiTheme="minorHAnsi"/>
        <w:b w:val="0"/>
        <w:bCs/>
        <w:color w:val="999999"/>
        <w:sz w:val="20"/>
      </w:rPr>
      <w:t>21</w:t>
    </w:r>
  </w:p>
  <w:p w14:paraId="4515F142" w14:textId="435EB561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4F21B9">
      <w:rPr>
        <w:rFonts w:asciiTheme="minorHAnsi" w:hAnsiTheme="minorHAnsi"/>
        <w:b w:val="0"/>
        <w:bCs/>
        <w:color w:val="999999"/>
        <w:sz w:val="20"/>
      </w:rPr>
      <w:t>February</w:t>
    </w:r>
    <w:r>
      <w:rPr>
        <w:rFonts w:asciiTheme="minorHAnsi" w:hAnsiTheme="minorHAnsi"/>
        <w:b w:val="0"/>
        <w:bCs/>
        <w:color w:val="999999"/>
        <w:sz w:val="20"/>
      </w:rPr>
      <w:t xml:space="preserve"> </w:t>
    </w:r>
    <w:r w:rsidR="004F21B9">
      <w:rPr>
        <w:rFonts w:asciiTheme="minorHAnsi" w:hAnsiTheme="minorHAnsi"/>
        <w:b w:val="0"/>
        <w:bCs/>
        <w:color w:val="999999"/>
        <w:sz w:val="20"/>
      </w:rPr>
      <w:t>9</w:t>
    </w:r>
    <w:r>
      <w:rPr>
        <w:rFonts w:asciiTheme="minorHAnsi" w:hAnsiTheme="minorHAnsi"/>
        <w:b w:val="0"/>
        <w:bCs/>
        <w:color w:val="999999"/>
        <w:sz w:val="20"/>
      </w:rPr>
      <w:t>, 20</w:t>
    </w:r>
    <w:r w:rsidR="004F21B9">
      <w:rPr>
        <w:rFonts w:asciiTheme="minorHAnsi" w:hAnsiTheme="minorHAnsi"/>
        <w:b w:val="0"/>
        <w:bCs/>
        <w:color w:val="999999"/>
        <w:sz w:val="20"/>
      </w:rPr>
      <w:t>21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F4C02" w14:textId="77777777" w:rsidR="0028032D" w:rsidRDefault="0028032D">
      <w:r>
        <w:separator/>
      </w:r>
    </w:p>
  </w:footnote>
  <w:footnote w:type="continuationSeparator" w:id="0">
    <w:p w14:paraId="69D28B21" w14:textId="77777777" w:rsidR="0028032D" w:rsidRDefault="0028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12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8"/>
  </w:num>
  <w:num w:numId="16">
    <w:abstractNumId w:val="5"/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3FDB"/>
    <w:rsid w:val="000429B5"/>
    <w:rsid w:val="00042A61"/>
    <w:rsid w:val="00044C12"/>
    <w:rsid w:val="00050BCD"/>
    <w:rsid w:val="00055F3B"/>
    <w:rsid w:val="00065AE5"/>
    <w:rsid w:val="00075F5C"/>
    <w:rsid w:val="00077129"/>
    <w:rsid w:val="000835DE"/>
    <w:rsid w:val="0009469D"/>
    <w:rsid w:val="00095A83"/>
    <w:rsid w:val="000B118C"/>
    <w:rsid w:val="000E190B"/>
    <w:rsid w:val="000F5525"/>
    <w:rsid w:val="00101776"/>
    <w:rsid w:val="00124814"/>
    <w:rsid w:val="001308E8"/>
    <w:rsid w:val="00142DD5"/>
    <w:rsid w:val="001448FA"/>
    <w:rsid w:val="00155D99"/>
    <w:rsid w:val="00170E32"/>
    <w:rsid w:val="0018386A"/>
    <w:rsid w:val="001848A0"/>
    <w:rsid w:val="0018529E"/>
    <w:rsid w:val="00194938"/>
    <w:rsid w:val="00196596"/>
    <w:rsid w:val="001A3DD6"/>
    <w:rsid w:val="001B202F"/>
    <w:rsid w:val="001C134D"/>
    <w:rsid w:val="001D1AED"/>
    <w:rsid w:val="001D1E40"/>
    <w:rsid w:val="001D28FD"/>
    <w:rsid w:val="001E79C9"/>
    <w:rsid w:val="00200AE3"/>
    <w:rsid w:val="00202F3A"/>
    <w:rsid w:val="0020414F"/>
    <w:rsid w:val="00211D4B"/>
    <w:rsid w:val="002158FF"/>
    <w:rsid w:val="00241F15"/>
    <w:rsid w:val="00242443"/>
    <w:rsid w:val="00245E2C"/>
    <w:rsid w:val="002601A2"/>
    <w:rsid w:val="00280178"/>
    <w:rsid w:val="0028032D"/>
    <w:rsid w:val="00286002"/>
    <w:rsid w:val="00290B0D"/>
    <w:rsid w:val="002D5DC2"/>
    <w:rsid w:val="002F39E5"/>
    <w:rsid w:val="0030162C"/>
    <w:rsid w:val="003027AB"/>
    <w:rsid w:val="00305A9E"/>
    <w:rsid w:val="00306935"/>
    <w:rsid w:val="00311370"/>
    <w:rsid w:val="0032153A"/>
    <w:rsid w:val="00323978"/>
    <w:rsid w:val="00334904"/>
    <w:rsid w:val="00335992"/>
    <w:rsid w:val="003439C5"/>
    <w:rsid w:val="00353FC5"/>
    <w:rsid w:val="003751B2"/>
    <w:rsid w:val="00380EBA"/>
    <w:rsid w:val="003853BE"/>
    <w:rsid w:val="0039117E"/>
    <w:rsid w:val="00394141"/>
    <w:rsid w:val="003973AF"/>
    <w:rsid w:val="00397440"/>
    <w:rsid w:val="003A3593"/>
    <w:rsid w:val="003A37AD"/>
    <w:rsid w:val="003B74CB"/>
    <w:rsid w:val="003C224D"/>
    <w:rsid w:val="003C729B"/>
    <w:rsid w:val="003D063E"/>
    <w:rsid w:val="003E6787"/>
    <w:rsid w:val="003F3B7E"/>
    <w:rsid w:val="00401A76"/>
    <w:rsid w:val="00406A37"/>
    <w:rsid w:val="00407577"/>
    <w:rsid w:val="00407627"/>
    <w:rsid w:val="00410AD4"/>
    <w:rsid w:val="0041392C"/>
    <w:rsid w:val="00414F03"/>
    <w:rsid w:val="0043439B"/>
    <w:rsid w:val="00445C9E"/>
    <w:rsid w:val="00454159"/>
    <w:rsid w:val="00461A8C"/>
    <w:rsid w:val="004A31DF"/>
    <w:rsid w:val="004B61AE"/>
    <w:rsid w:val="004D01B2"/>
    <w:rsid w:val="004D13A7"/>
    <w:rsid w:val="004D411A"/>
    <w:rsid w:val="004D4494"/>
    <w:rsid w:val="004D7C21"/>
    <w:rsid w:val="004E02C8"/>
    <w:rsid w:val="004E2D44"/>
    <w:rsid w:val="004E4C16"/>
    <w:rsid w:val="004F21B9"/>
    <w:rsid w:val="004F333F"/>
    <w:rsid w:val="005201F1"/>
    <w:rsid w:val="0052158F"/>
    <w:rsid w:val="0052471D"/>
    <w:rsid w:val="005251FD"/>
    <w:rsid w:val="00526683"/>
    <w:rsid w:val="005314F4"/>
    <w:rsid w:val="005349BF"/>
    <w:rsid w:val="00546220"/>
    <w:rsid w:val="00547FE8"/>
    <w:rsid w:val="00550564"/>
    <w:rsid w:val="00562E77"/>
    <w:rsid w:val="00564E9C"/>
    <w:rsid w:val="00571759"/>
    <w:rsid w:val="00574452"/>
    <w:rsid w:val="0058262F"/>
    <w:rsid w:val="00585FC3"/>
    <w:rsid w:val="005A0861"/>
    <w:rsid w:val="005B1D97"/>
    <w:rsid w:val="005B2DCB"/>
    <w:rsid w:val="005B5E44"/>
    <w:rsid w:val="005D776C"/>
    <w:rsid w:val="005E4B38"/>
    <w:rsid w:val="005E626E"/>
    <w:rsid w:val="005F0217"/>
    <w:rsid w:val="005F4D56"/>
    <w:rsid w:val="005F7308"/>
    <w:rsid w:val="0060226A"/>
    <w:rsid w:val="006023C3"/>
    <w:rsid w:val="00602885"/>
    <w:rsid w:val="00636010"/>
    <w:rsid w:val="006634C1"/>
    <w:rsid w:val="00664295"/>
    <w:rsid w:val="0066542A"/>
    <w:rsid w:val="00672200"/>
    <w:rsid w:val="0067613E"/>
    <w:rsid w:val="0068496D"/>
    <w:rsid w:val="00692CA5"/>
    <w:rsid w:val="00696DD6"/>
    <w:rsid w:val="006A1244"/>
    <w:rsid w:val="006A2D19"/>
    <w:rsid w:val="006D336A"/>
    <w:rsid w:val="006D4BF5"/>
    <w:rsid w:val="006D57FB"/>
    <w:rsid w:val="006E7AC5"/>
    <w:rsid w:val="006F189C"/>
    <w:rsid w:val="006F34C1"/>
    <w:rsid w:val="0070601B"/>
    <w:rsid w:val="00710FFE"/>
    <w:rsid w:val="00721780"/>
    <w:rsid w:val="00741697"/>
    <w:rsid w:val="007418E8"/>
    <w:rsid w:val="00745013"/>
    <w:rsid w:val="00745E2B"/>
    <w:rsid w:val="00762A24"/>
    <w:rsid w:val="007910CD"/>
    <w:rsid w:val="007961DA"/>
    <w:rsid w:val="00796DE8"/>
    <w:rsid w:val="007B2354"/>
    <w:rsid w:val="007B2527"/>
    <w:rsid w:val="007B4182"/>
    <w:rsid w:val="007B7FA7"/>
    <w:rsid w:val="007C490E"/>
    <w:rsid w:val="007C69F2"/>
    <w:rsid w:val="007C6DFB"/>
    <w:rsid w:val="007C700F"/>
    <w:rsid w:val="007C7413"/>
    <w:rsid w:val="007D0FAD"/>
    <w:rsid w:val="007D153E"/>
    <w:rsid w:val="007E0FE2"/>
    <w:rsid w:val="007E42F4"/>
    <w:rsid w:val="0083066C"/>
    <w:rsid w:val="008314BE"/>
    <w:rsid w:val="00854B04"/>
    <w:rsid w:val="008654B0"/>
    <w:rsid w:val="00865C96"/>
    <w:rsid w:val="008675A1"/>
    <w:rsid w:val="0087132E"/>
    <w:rsid w:val="00876FFA"/>
    <w:rsid w:val="008824D5"/>
    <w:rsid w:val="00887818"/>
    <w:rsid w:val="00892A3C"/>
    <w:rsid w:val="00895684"/>
    <w:rsid w:val="008963AC"/>
    <w:rsid w:val="00896CDE"/>
    <w:rsid w:val="008B00D5"/>
    <w:rsid w:val="008B5DBE"/>
    <w:rsid w:val="008E06B8"/>
    <w:rsid w:val="008E140E"/>
    <w:rsid w:val="008E2CCE"/>
    <w:rsid w:val="008F0889"/>
    <w:rsid w:val="0091072C"/>
    <w:rsid w:val="009155A1"/>
    <w:rsid w:val="00924D4B"/>
    <w:rsid w:val="00940FD8"/>
    <w:rsid w:val="009438F8"/>
    <w:rsid w:val="00946707"/>
    <w:rsid w:val="00952915"/>
    <w:rsid w:val="00956CBB"/>
    <w:rsid w:val="00964F15"/>
    <w:rsid w:val="00966A65"/>
    <w:rsid w:val="00975691"/>
    <w:rsid w:val="00990948"/>
    <w:rsid w:val="00991E0B"/>
    <w:rsid w:val="00992937"/>
    <w:rsid w:val="00995A98"/>
    <w:rsid w:val="00997C12"/>
    <w:rsid w:val="009A43FC"/>
    <w:rsid w:val="009A6A22"/>
    <w:rsid w:val="009C3FEF"/>
    <w:rsid w:val="009F5513"/>
    <w:rsid w:val="00A174F1"/>
    <w:rsid w:val="00A26503"/>
    <w:rsid w:val="00A26670"/>
    <w:rsid w:val="00A43A93"/>
    <w:rsid w:val="00A44FB1"/>
    <w:rsid w:val="00A514B9"/>
    <w:rsid w:val="00A554B7"/>
    <w:rsid w:val="00A5595D"/>
    <w:rsid w:val="00A61D76"/>
    <w:rsid w:val="00A651F5"/>
    <w:rsid w:val="00A75467"/>
    <w:rsid w:val="00A82A30"/>
    <w:rsid w:val="00AA0958"/>
    <w:rsid w:val="00AA3545"/>
    <w:rsid w:val="00AA702D"/>
    <w:rsid w:val="00AB2778"/>
    <w:rsid w:val="00AC21F2"/>
    <w:rsid w:val="00AD2A95"/>
    <w:rsid w:val="00AE0152"/>
    <w:rsid w:val="00B03676"/>
    <w:rsid w:val="00B1304C"/>
    <w:rsid w:val="00B215D9"/>
    <w:rsid w:val="00B26225"/>
    <w:rsid w:val="00B2766F"/>
    <w:rsid w:val="00B4148F"/>
    <w:rsid w:val="00B41C7A"/>
    <w:rsid w:val="00B537B7"/>
    <w:rsid w:val="00B5663F"/>
    <w:rsid w:val="00B641FB"/>
    <w:rsid w:val="00B670F2"/>
    <w:rsid w:val="00B72930"/>
    <w:rsid w:val="00B72C87"/>
    <w:rsid w:val="00B75380"/>
    <w:rsid w:val="00B85225"/>
    <w:rsid w:val="00B8593D"/>
    <w:rsid w:val="00B87778"/>
    <w:rsid w:val="00B879C7"/>
    <w:rsid w:val="00BB1517"/>
    <w:rsid w:val="00BC49CA"/>
    <w:rsid w:val="00BC5AC3"/>
    <w:rsid w:val="00BD33DA"/>
    <w:rsid w:val="00BF3302"/>
    <w:rsid w:val="00C00AA1"/>
    <w:rsid w:val="00C02B01"/>
    <w:rsid w:val="00C14EEB"/>
    <w:rsid w:val="00C36C13"/>
    <w:rsid w:val="00C41462"/>
    <w:rsid w:val="00C433CD"/>
    <w:rsid w:val="00C52FA7"/>
    <w:rsid w:val="00C62EB6"/>
    <w:rsid w:val="00C805A9"/>
    <w:rsid w:val="00C82387"/>
    <w:rsid w:val="00C8731C"/>
    <w:rsid w:val="00C96967"/>
    <w:rsid w:val="00CB2F2D"/>
    <w:rsid w:val="00CB3C92"/>
    <w:rsid w:val="00CC0A5D"/>
    <w:rsid w:val="00CC7707"/>
    <w:rsid w:val="00CE0109"/>
    <w:rsid w:val="00CF27C6"/>
    <w:rsid w:val="00D01131"/>
    <w:rsid w:val="00D02EDE"/>
    <w:rsid w:val="00D10FAD"/>
    <w:rsid w:val="00D20C46"/>
    <w:rsid w:val="00D21E35"/>
    <w:rsid w:val="00D2364E"/>
    <w:rsid w:val="00D237DC"/>
    <w:rsid w:val="00D33E3B"/>
    <w:rsid w:val="00D35182"/>
    <w:rsid w:val="00D35A11"/>
    <w:rsid w:val="00D41218"/>
    <w:rsid w:val="00D525CB"/>
    <w:rsid w:val="00D54DAA"/>
    <w:rsid w:val="00D676AE"/>
    <w:rsid w:val="00D75E91"/>
    <w:rsid w:val="00D77E75"/>
    <w:rsid w:val="00D81514"/>
    <w:rsid w:val="00D94BC7"/>
    <w:rsid w:val="00D97C8E"/>
    <w:rsid w:val="00DA20C7"/>
    <w:rsid w:val="00DB71F7"/>
    <w:rsid w:val="00DC051C"/>
    <w:rsid w:val="00DD576C"/>
    <w:rsid w:val="00DD6EF0"/>
    <w:rsid w:val="00DE0E09"/>
    <w:rsid w:val="00DF392F"/>
    <w:rsid w:val="00DF5B58"/>
    <w:rsid w:val="00E035F4"/>
    <w:rsid w:val="00E06100"/>
    <w:rsid w:val="00E14F1D"/>
    <w:rsid w:val="00E172EB"/>
    <w:rsid w:val="00E22352"/>
    <w:rsid w:val="00E345FC"/>
    <w:rsid w:val="00E479A3"/>
    <w:rsid w:val="00E52909"/>
    <w:rsid w:val="00E56320"/>
    <w:rsid w:val="00E765AE"/>
    <w:rsid w:val="00E76C00"/>
    <w:rsid w:val="00E77550"/>
    <w:rsid w:val="00E86FB4"/>
    <w:rsid w:val="00E9281E"/>
    <w:rsid w:val="00E93F6A"/>
    <w:rsid w:val="00E979B7"/>
    <w:rsid w:val="00EB1E5B"/>
    <w:rsid w:val="00EC50A9"/>
    <w:rsid w:val="00EC79C2"/>
    <w:rsid w:val="00ED178D"/>
    <w:rsid w:val="00EE2F1B"/>
    <w:rsid w:val="00EE4830"/>
    <w:rsid w:val="00EE7BAF"/>
    <w:rsid w:val="00EF579C"/>
    <w:rsid w:val="00F022E9"/>
    <w:rsid w:val="00F05FEF"/>
    <w:rsid w:val="00F06FBD"/>
    <w:rsid w:val="00F168A5"/>
    <w:rsid w:val="00F17838"/>
    <w:rsid w:val="00F21DF5"/>
    <w:rsid w:val="00F40663"/>
    <w:rsid w:val="00F43911"/>
    <w:rsid w:val="00F460A6"/>
    <w:rsid w:val="00F54796"/>
    <w:rsid w:val="00F5782E"/>
    <w:rsid w:val="00F60F12"/>
    <w:rsid w:val="00F60F1B"/>
    <w:rsid w:val="00F6527D"/>
    <w:rsid w:val="00F7350C"/>
    <w:rsid w:val="00F7421E"/>
    <w:rsid w:val="00F95566"/>
    <w:rsid w:val="00FA228B"/>
    <w:rsid w:val="00FA6ADD"/>
    <w:rsid w:val="00FB118C"/>
    <w:rsid w:val="00FC6F44"/>
    <w:rsid w:val="00FD1263"/>
    <w:rsid w:val="00FE6126"/>
    <w:rsid w:val="00FE6166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CC8BF-1562-468B-9573-471702DA1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Lisa Schovanek</cp:lastModifiedBy>
  <cp:revision>9</cp:revision>
  <cp:lastPrinted>2012-04-12T21:53:00Z</cp:lastPrinted>
  <dcterms:created xsi:type="dcterms:W3CDTF">2021-02-03T19:08:00Z</dcterms:created>
  <dcterms:modified xsi:type="dcterms:W3CDTF">2021-02-05T19:34:00Z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