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61" w14:textId="77777777" w:rsidR="00F6527D" w:rsidRDefault="00FB118C" w:rsidP="00DD0291">
      <w:pPr>
        <w:pStyle w:val="Name"/>
        <w:tabs>
          <w:tab w:val="left" w:pos="2064"/>
        </w:tabs>
        <w:spacing w:after="0" w:line="240" w:lineRule="auto"/>
        <w:ind w:left="72"/>
        <w:jc w:val="both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DD0291">
      <w:pPr>
        <w:pStyle w:val="Name"/>
        <w:tabs>
          <w:tab w:val="left" w:pos="2064"/>
        </w:tabs>
        <w:spacing w:after="0" w:line="240" w:lineRule="auto"/>
        <w:ind w:left="72"/>
        <w:jc w:val="both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DD0291">
      <w:pPr>
        <w:pStyle w:val="Name"/>
        <w:tabs>
          <w:tab w:val="left" w:pos="2064"/>
        </w:tabs>
        <w:spacing w:after="0" w:line="240" w:lineRule="auto"/>
        <w:ind w:left="72"/>
        <w:jc w:val="both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DD0291">
      <w:pPr>
        <w:pStyle w:val="Name"/>
        <w:tabs>
          <w:tab w:val="left" w:pos="2064"/>
        </w:tabs>
        <w:spacing w:after="0" w:line="240" w:lineRule="auto"/>
        <w:ind w:left="72"/>
        <w:jc w:val="both"/>
        <w:rPr>
          <w:rFonts w:asciiTheme="minorHAnsi" w:hAnsiTheme="minorHAnsi"/>
          <w:noProof/>
          <w:sz w:val="22"/>
        </w:rPr>
      </w:pPr>
    </w:p>
    <w:p w14:paraId="4BAD5DE2" w14:textId="3F351883" w:rsidR="00995A98" w:rsidRPr="00995A98" w:rsidRDefault="00995A98" w:rsidP="00847AD7">
      <w:pPr>
        <w:pStyle w:val="Address1"/>
        <w:framePr w:w="2664" w:wrap="notBeside" w:x="8770" w:y="1301"/>
        <w:tabs>
          <w:tab w:val="left" w:pos="1612"/>
        </w:tabs>
        <w:spacing w:line="240" w:lineRule="auto"/>
        <w:jc w:val="both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CC6333">
        <w:rPr>
          <w:rFonts w:asciiTheme="minorHAnsi" w:hAnsiTheme="minorHAnsi"/>
          <w:b/>
          <w:sz w:val="23"/>
          <w:szCs w:val="23"/>
          <w:u w:val="single"/>
        </w:rPr>
        <w:t>D.5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DD0291">
      <w:pPr>
        <w:jc w:val="both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A306A0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DD0291">
      <w:pPr>
        <w:tabs>
          <w:tab w:val="left" w:pos="3240"/>
          <w:tab w:val="right" w:pos="6318"/>
          <w:tab w:val="left" w:pos="6474"/>
          <w:tab w:val="right" w:pos="8460"/>
        </w:tabs>
        <w:jc w:val="both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DD0291">
      <w:pPr>
        <w:tabs>
          <w:tab w:val="left" w:pos="3240"/>
          <w:tab w:val="right" w:pos="6318"/>
          <w:tab w:val="left" w:pos="6474"/>
          <w:tab w:val="right" w:pos="8460"/>
        </w:tabs>
        <w:jc w:val="both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E2344" w:rsidRDefault="00F06FBD" w:rsidP="0037552B">
            <w:pPr>
              <w:tabs>
                <w:tab w:val="left" w:pos="1035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bookmarkStart w:id="6" w:name="_Hlk22903666"/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Title</w:t>
            </w:r>
            <w:r w:rsidR="00975691"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7485D842" w:rsidR="00CC7707" w:rsidRPr="005B36AF" w:rsidRDefault="009D435A" w:rsidP="005B36A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Agribusiness and Agritourism Review </w:t>
            </w:r>
            <w:r w:rsidR="002250EE" w:rsidRPr="005B36A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- </w:t>
            </w:r>
            <w:r w:rsidRPr="005B36AF">
              <w:rPr>
                <w:rFonts w:asciiTheme="minorHAnsi" w:hAnsiTheme="minorHAnsi" w:cstheme="minorHAnsi"/>
                <w:b/>
                <w:sz w:val="23"/>
                <w:szCs w:val="23"/>
              </w:rPr>
              <w:t>Public Engagement and Communications Plan</w:t>
            </w:r>
          </w:p>
        </w:tc>
      </w:tr>
      <w:bookmarkEnd w:id="6"/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E2344" w:rsidRDefault="005F4D56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5B36AF" w:rsidRDefault="005F4D56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E2344" w:rsidRDefault="00E77550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Proposed </w:t>
            </w:r>
            <w:r w:rsidR="005A0861"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455C65C6" w:rsidR="00FA228B" w:rsidRPr="005B36AF" w:rsidRDefault="00AB1738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7" w:name="_Hlk517955086"/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That Council </w:t>
            </w:r>
            <w:bookmarkEnd w:id="7"/>
            <w:r w:rsidR="009D435A" w:rsidRPr="005B36AF">
              <w:rPr>
                <w:rFonts w:asciiTheme="minorHAnsi" w:hAnsiTheme="minorHAnsi" w:cstheme="minorHAnsi"/>
                <w:sz w:val="23"/>
                <w:szCs w:val="23"/>
              </w:rPr>
              <w:t>approve the Agribusiness and Agritourism Review Public Engagement and Communication Plan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 xml:space="preserve"> as presented. </w:t>
            </w:r>
          </w:p>
        </w:tc>
      </w:tr>
      <w:tr w:rsidR="00546220" w:rsidRPr="00995A98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E2344" w:rsidRDefault="00546220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5B36AF" w:rsidRDefault="00546220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F013A0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E2344" w:rsidRDefault="00D237D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E2344" w:rsidRDefault="00D237D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6524D0CB" w:rsidR="00D237DC" w:rsidRPr="005B36AF" w:rsidRDefault="00053B9F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8" w:name="_Hlk22903727"/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On behalf of the Agribusiness and Agritourism Review Task Forc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BC5109" w:rsidRPr="005B36AF">
              <w:rPr>
                <w:rFonts w:asciiTheme="minorHAnsi" w:hAnsiTheme="minorHAnsi" w:cstheme="minorHAnsi"/>
                <w:sz w:val="23"/>
                <w:szCs w:val="23"/>
              </w:rPr>
              <w:t>it is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recommend</w:t>
            </w:r>
            <w:r w:rsidR="00BC5109" w:rsidRPr="005B36AF">
              <w:rPr>
                <w:rFonts w:asciiTheme="minorHAnsi" w:hAnsiTheme="minorHAnsi" w:cstheme="minorHAnsi"/>
                <w:sz w:val="23"/>
                <w:szCs w:val="23"/>
              </w:rPr>
              <w:t>ed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t</w:t>
            </w:r>
            <w:r w:rsidR="00AB1738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hat Council </w:t>
            </w:r>
            <w:bookmarkEnd w:id="8"/>
            <w:r w:rsidR="009D435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approve the Agribusiness and Agritourism Review Public Engagement and Communication Plan, to </w:t>
            </w:r>
            <w:r w:rsidR="002250EE" w:rsidRPr="005B36AF">
              <w:rPr>
                <w:rFonts w:asciiTheme="minorHAnsi" w:hAnsiTheme="minorHAnsi" w:cstheme="minorHAnsi"/>
                <w:sz w:val="23"/>
                <w:szCs w:val="23"/>
              </w:rPr>
              <w:t>enable the Task Force</w:t>
            </w:r>
            <w:r w:rsidR="009D435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to move forward with Phase 1 engagement</w:t>
            </w:r>
            <w:r w:rsidR="002250EE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activities</w:t>
            </w:r>
            <w:r w:rsidR="009D435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</w:tc>
      </w:tr>
      <w:tr w:rsidR="00995A98" w:rsidRPr="00995A98" w14:paraId="6FB7CCF7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E2344" w:rsidRDefault="00995A9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5B36AF" w:rsidRDefault="00995A98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E2344" w:rsidRDefault="00DD576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12E7752" w14:textId="59E0D5FA" w:rsidR="00FF23A3" w:rsidRPr="005B36AF" w:rsidRDefault="003B762F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March 9, 2021 Regular Council Meeting</w:t>
            </w:r>
          </w:p>
          <w:p w14:paraId="654B360B" w14:textId="0F0E8030" w:rsidR="003B762F" w:rsidRPr="005B36AF" w:rsidRDefault="003B762F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Motion 118/21: That Council initiate an agribusiness and agritourism review, supported by a community-based Task Force as defined in proposed Bylaw</w:t>
            </w:r>
            <w:r w:rsidR="00847AD7" w:rsidRPr="005B36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1538/21.</w:t>
            </w:r>
          </w:p>
          <w:p w14:paraId="72F68137" w14:textId="77777777" w:rsidR="003B762F" w:rsidRPr="005B36AF" w:rsidRDefault="003B762F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1BE5515" w14:textId="7F651E60" w:rsidR="003B762F" w:rsidRPr="005B36AF" w:rsidRDefault="003B762F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Motion 122/21: That Council give third reading of Bylaw 1538/21.  </w:t>
            </w:r>
          </w:p>
        </w:tc>
      </w:tr>
      <w:tr w:rsidR="00546220" w:rsidRPr="00995A98" w14:paraId="6FB75374" w14:textId="77777777" w:rsidTr="00DD0291">
        <w:trPr>
          <w:trHeight w:val="193"/>
        </w:trPr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E2344" w:rsidRDefault="00546220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5B36AF" w:rsidRDefault="00546220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1304C" w:rsidRPr="00995A98" w14:paraId="34B76C87" w14:textId="77777777" w:rsidTr="00A5090F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E2344" w:rsidRDefault="00B1304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9E2344">
              <w:rPr>
                <w:rFonts w:asciiTheme="minorHAnsi" w:hAnsiTheme="minorHAnsi" w:cstheme="minorHAnsi"/>
                <w:sz w:val="23"/>
                <w:szCs w:val="23"/>
              </w:rPr>
              <w:br w:type="page"/>
            </w: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</w:tcPr>
          <w:p w14:paraId="395F9F40" w14:textId="217DB51C" w:rsidR="009F5CEA" w:rsidRPr="005B36AF" w:rsidRDefault="009F5CEA" w:rsidP="005B36AF">
            <w:pPr>
              <w:pStyle w:val="NoSpacing"/>
              <w:spacing w:after="6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Background</w:t>
            </w:r>
          </w:p>
          <w:p w14:paraId="37BE93B6" w14:textId="262435D3" w:rsidR="005B68CA" w:rsidRPr="005B36AF" w:rsidRDefault="009F5CEA" w:rsidP="007429A1">
            <w:pPr>
              <w:pStyle w:val="Default"/>
              <w:numPr>
                <w:ilvl w:val="0"/>
                <w:numId w:val="22"/>
              </w:numPr>
              <w:spacing w:after="60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On March 9, 2021, Council 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passed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Bylaw 1538/21</w:t>
            </w:r>
            <w:r w:rsidR="00CC6333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, the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Agribusiness and Agritourism Review Task Force</w:t>
            </w:r>
            <w:r w:rsidR="009813E2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(AARTF)</w:t>
            </w:r>
            <w:r w:rsidR="00CC6333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Bylaw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 xml:space="preserve"> (see Attachment 1)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This Bylaw</w:t>
            </w:r>
            <w:r w:rsidR="002250EE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describes the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key deliverables required</w:t>
            </w:r>
            <w:r w:rsidR="002250EE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within the Agribusiness and Agritourism Review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including: </w:t>
            </w:r>
          </w:p>
          <w:p w14:paraId="246D2DDF" w14:textId="3C79A7B3" w:rsidR="009F5CEA" w:rsidRPr="005B36AF" w:rsidRDefault="00847AD7" w:rsidP="00847AD7">
            <w:pPr>
              <w:pStyle w:val="Default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9F5CE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n Engagement Plan for approval </w:t>
            </w:r>
            <w:r w:rsidR="002250EE" w:rsidRPr="005B36AF">
              <w:rPr>
                <w:rFonts w:asciiTheme="minorHAnsi" w:hAnsiTheme="minorHAnsi" w:cstheme="minorHAnsi"/>
                <w:sz w:val="23"/>
                <w:szCs w:val="23"/>
              </w:rPr>
              <w:t>by</w:t>
            </w:r>
            <w:r w:rsidR="009F5CE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Council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r w:rsidR="009F5CE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B8592C4" w14:textId="47B5FA0C" w:rsidR="009F5CEA" w:rsidRPr="005B36AF" w:rsidRDefault="00847AD7" w:rsidP="00847AD7">
            <w:pPr>
              <w:pStyle w:val="Default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9F5CE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What We Heard Report to Council for information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; and</w:t>
            </w:r>
            <w:r w:rsidR="009F5CE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4E383738" w14:textId="46CBE10C" w:rsidR="009F5CEA" w:rsidRPr="005B36AF" w:rsidRDefault="00847AD7" w:rsidP="00847AD7">
            <w:pPr>
              <w:pStyle w:val="Default"/>
              <w:numPr>
                <w:ilvl w:val="1"/>
                <w:numId w:val="22"/>
              </w:numPr>
              <w:spacing w:after="120"/>
              <w:ind w:left="107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9F5CE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Final Report</w:t>
            </w:r>
            <w:r w:rsidR="002250EE" w:rsidRPr="005B36AF">
              <w:rPr>
                <w:rFonts w:asciiTheme="minorHAnsi" w:hAnsiTheme="minorHAnsi" w:cstheme="minorHAnsi"/>
                <w:sz w:val="23"/>
                <w:szCs w:val="23"/>
              </w:rPr>
              <w:t>, containing specific recommendations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9F5CE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E5253AF" w14:textId="4C0AAF6E" w:rsidR="009813E2" w:rsidRPr="005B36AF" w:rsidRDefault="002250EE" w:rsidP="00F6062F">
            <w:pPr>
              <w:pStyle w:val="Default"/>
              <w:numPr>
                <w:ilvl w:val="0"/>
                <w:numId w:val="22"/>
              </w:numPr>
              <w:spacing w:after="120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9813E2" w:rsidRPr="005B36AF">
              <w:rPr>
                <w:rFonts w:asciiTheme="minorHAnsi" w:hAnsiTheme="minorHAnsi" w:cstheme="minorHAnsi"/>
                <w:sz w:val="23"/>
                <w:szCs w:val="23"/>
              </w:rPr>
              <w:t>he Task Force</w:t>
            </w:r>
            <w:r w:rsidR="00D43520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has</w:t>
            </w:r>
            <w:r w:rsidR="009813E2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B68CA" w:rsidRPr="005B36AF">
              <w:rPr>
                <w:rFonts w:asciiTheme="minorHAnsi" w:hAnsiTheme="minorHAnsi" w:cstheme="minorHAnsi"/>
                <w:sz w:val="23"/>
                <w:szCs w:val="23"/>
              </w:rPr>
              <w:t>complete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5B68C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="00BC5109" w:rsidRPr="005B36AF">
              <w:rPr>
                <w:rFonts w:asciiTheme="minorHAnsi" w:hAnsiTheme="minorHAnsi" w:cstheme="minorHAnsi"/>
                <w:sz w:val="23"/>
                <w:szCs w:val="23"/>
              </w:rPr>
              <w:t>first deliverable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BC5109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 </w:t>
            </w:r>
            <w:r w:rsidR="005B68CA" w:rsidRPr="005B36AF">
              <w:rPr>
                <w:rFonts w:asciiTheme="minorHAnsi" w:hAnsiTheme="minorHAnsi" w:cstheme="minorHAnsi"/>
                <w:sz w:val="23"/>
                <w:szCs w:val="23"/>
              </w:rPr>
              <w:t>Public Engagement and Communications Plan (PEC</w:t>
            </w:r>
            <w:r w:rsidR="00652E40" w:rsidRPr="005B36AF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5B68CA" w:rsidRPr="005B36AF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for Council’s consideration and approval</w:t>
            </w:r>
            <w:r w:rsidR="007429A1">
              <w:rPr>
                <w:rFonts w:asciiTheme="minorHAnsi" w:hAnsiTheme="minorHAnsi" w:cstheme="minorHAnsi"/>
                <w:sz w:val="23"/>
                <w:szCs w:val="23"/>
              </w:rPr>
              <w:t xml:space="preserve"> (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 xml:space="preserve">see </w:t>
            </w:r>
            <w:r w:rsidR="007429A1">
              <w:rPr>
                <w:rFonts w:asciiTheme="minorHAnsi" w:hAnsiTheme="minorHAnsi" w:cstheme="minorHAnsi"/>
                <w:sz w:val="23"/>
                <w:szCs w:val="23"/>
              </w:rPr>
              <w:t xml:space="preserve">Attachment 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7429A1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5B68CA" w:rsidRPr="005B36A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BC5109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52BD0FC" w14:textId="0B818D08" w:rsidR="005B68CA" w:rsidRPr="005B36AF" w:rsidRDefault="005B68CA" w:rsidP="00847AD7">
            <w:pPr>
              <w:pStyle w:val="Default"/>
              <w:numPr>
                <w:ilvl w:val="0"/>
                <w:numId w:val="22"/>
              </w:numPr>
              <w:spacing w:after="120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The PEC</w:t>
            </w:r>
            <w:r w:rsidR="00652E40" w:rsidRPr="005B36AF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C3DAA" w:rsidRPr="005B36AF">
              <w:rPr>
                <w:rFonts w:asciiTheme="minorHAnsi" w:hAnsiTheme="minorHAnsi" w:cstheme="minorHAnsi"/>
                <w:sz w:val="23"/>
                <w:szCs w:val="23"/>
              </w:rPr>
              <w:t>has been developed to provide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Council an overall timeline of public engagement activities</w:t>
            </w:r>
            <w:r w:rsidR="002250EE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by the Task Force, supported by engagement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consultant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2250EE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and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Administration. </w:t>
            </w:r>
          </w:p>
          <w:p w14:paraId="6E637BAC" w14:textId="5B7FF968" w:rsidR="009F5CEA" w:rsidRPr="005B36AF" w:rsidRDefault="009F5CEA" w:rsidP="00847AD7">
            <w:pPr>
              <w:pStyle w:val="Default"/>
              <w:numPr>
                <w:ilvl w:val="0"/>
                <w:numId w:val="22"/>
              </w:numPr>
              <w:spacing w:after="120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Due to the </w:t>
            </w:r>
            <w:r w:rsidR="001D6ED1" w:rsidRPr="005B36AF">
              <w:rPr>
                <w:rFonts w:asciiTheme="minorHAnsi" w:hAnsiTheme="minorHAnsi" w:cstheme="minorHAnsi"/>
                <w:sz w:val="23"/>
                <w:szCs w:val="23"/>
              </w:rPr>
              <w:t>2021 Municipal Election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on October 18, 2021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the first phase of engagement is planned </w:t>
            </w:r>
            <w:r w:rsidR="009C55FF" w:rsidRPr="009C55FF">
              <w:rPr>
                <w:rFonts w:asciiTheme="minorHAnsi" w:hAnsiTheme="minorHAnsi" w:cstheme="minorHAnsi"/>
                <w:sz w:val="23"/>
                <w:szCs w:val="23"/>
              </w:rPr>
              <w:t>to take place</w:t>
            </w:r>
            <w:r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D6ED1"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after the </w:t>
            </w:r>
            <w:r w:rsidR="00053B9F"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incoming </w:t>
            </w:r>
            <w:r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Council </w:t>
            </w:r>
            <w:r w:rsidR="001D6ED1" w:rsidRPr="009C55FF">
              <w:rPr>
                <w:rFonts w:asciiTheme="minorHAnsi" w:hAnsiTheme="minorHAnsi" w:cstheme="minorHAnsi"/>
                <w:sz w:val="23"/>
                <w:szCs w:val="23"/>
              </w:rPr>
              <w:t>has been</w:t>
            </w:r>
            <w:r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 sworn in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 xml:space="preserve"> (after the October 26, 2021 Council Organizational Meeting)</w:t>
            </w:r>
            <w:r w:rsidRPr="009C55F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Note that advertising of engagement would occur 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one to two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weeks prior to Council being sworn in. </w:t>
            </w:r>
          </w:p>
          <w:p w14:paraId="0D525ED6" w14:textId="33607254" w:rsidR="00410EE0" w:rsidRPr="005B36AF" w:rsidRDefault="00053B9F" w:rsidP="00CC6333">
            <w:pPr>
              <w:pStyle w:val="Default"/>
              <w:numPr>
                <w:ilvl w:val="1"/>
                <w:numId w:val="22"/>
              </w:numPr>
              <w:spacing w:after="120"/>
              <w:ind w:left="782" w:hanging="357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9" w:name="_Hlk80778438"/>
            <w:r w:rsidRPr="005B36AF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A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delay</w:t>
            </w:r>
            <w:r w:rsidR="009813E2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in </w:t>
            </w:r>
            <w:r w:rsidR="009813E2" w:rsidRPr="005B36AF">
              <w:rPr>
                <w:rFonts w:asciiTheme="minorHAnsi" w:hAnsiTheme="minorHAnsi" w:cstheme="minorHAnsi"/>
                <w:sz w:val="23"/>
                <w:szCs w:val="23"/>
              </w:rPr>
              <w:t>advertising to after October 2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813E2" w:rsidRPr="005B36AF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would result in</w:t>
            </w:r>
            <w:r w:rsidR="009813E2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Phase 1 engagement complet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ion</w:t>
            </w:r>
            <w:r w:rsidR="009813E2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in Q4 of 2021, but the overall project would </w:t>
            </w:r>
            <w:r w:rsidR="00410EE0" w:rsidRPr="005B36AF">
              <w:rPr>
                <w:rFonts w:asciiTheme="minorHAnsi" w:hAnsiTheme="minorHAnsi" w:cstheme="minorHAnsi"/>
                <w:sz w:val="23"/>
                <w:szCs w:val="23"/>
              </w:rPr>
              <w:t>require an adjustment</w:t>
            </w:r>
            <w:r w:rsidR="00CC6333" w:rsidRPr="005B36AF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410EE0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which would move the completion date from April 2022 to May 2022.</w:t>
            </w:r>
          </w:p>
          <w:bookmarkEnd w:id="9"/>
          <w:p w14:paraId="54832373" w14:textId="101B55D2" w:rsidR="009F5CEA" w:rsidRPr="005B36AF" w:rsidRDefault="009F5CEA" w:rsidP="00CC6333">
            <w:pPr>
              <w:pStyle w:val="Default"/>
              <w:numPr>
                <w:ilvl w:val="0"/>
                <w:numId w:val="22"/>
              </w:numPr>
              <w:spacing w:after="120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The engagement approach and scope for the PECP has been developed into two phases: </w:t>
            </w:r>
          </w:p>
          <w:p w14:paraId="61C48E0E" w14:textId="57B3B22C" w:rsidR="009F5CEA" w:rsidRPr="005B36AF" w:rsidRDefault="009F5CEA" w:rsidP="00CC6333">
            <w:pPr>
              <w:pStyle w:val="Default"/>
              <w:ind w:left="36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Phase 1: October</w:t>
            </w:r>
            <w:r w:rsidR="009C55F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November </w:t>
            </w:r>
            <w:r w:rsidRPr="005B36A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2021 </w:t>
            </w:r>
          </w:p>
          <w:p w14:paraId="4C8A8E9E" w14:textId="01F3BBC6" w:rsidR="009F5CEA" w:rsidRPr="005B36AF" w:rsidRDefault="009F5CEA" w:rsidP="005B36AF">
            <w:pPr>
              <w:pStyle w:val="Default"/>
              <w:numPr>
                <w:ilvl w:val="0"/>
                <w:numId w:val="44"/>
              </w:numPr>
              <w:spacing w:after="120"/>
              <w:ind w:left="786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Will include the development and advertising of an online survey. The survey will 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ask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participants to reflect on concerns they have related to land use compatibility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nuisance issues such as noise, odour, traffic, environmental concerns, and obstacles to implementation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and invite ideas on solutions needed to mitigate concerns and overcome obstacles. </w:t>
            </w:r>
          </w:p>
          <w:p w14:paraId="7A8E33F0" w14:textId="4A58D7CB" w:rsidR="009F5CEA" w:rsidRPr="005B36AF" w:rsidRDefault="009F5CEA" w:rsidP="005B36AF">
            <w:pPr>
              <w:pStyle w:val="Default"/>
              <w:numPr>
                <w:ilvl w:val="0"/>
                <w:numId w:val="44"/>
              </w:numPr>
              <w:spacing w:after="120"/>
              <w:ind w:left="786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The survey will be </w:t>
            </w:r>
            <w:r w:rsidR="00053B9F" w:rsidRPr="005B36AF">
              <w:rPr>
                <w:rFonts w:asciiTheme="minorHAnsi" w:hAnsiTheme="minorHAnsi" w:cstheme="minorHAnsi"/>
                <w:sz w:val="23"/>
                <w:szCs w:val="23"/>
              </w:rPr>
              <w:t>reviewed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with </w:t>
            </w:r>
            <w:r w:rsidR="00053B9F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Task Force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members</w:t>
            </w:r>
            <w:r w:rsidR="00053B9F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and </w:t>
            </w:r>
            <w:r w:rsidR="006F7441" w:rsidRPr="005B36AF">
              <w:rPr>
                <w:rFonts w:asciiTheme="minorHAnsi" w:hAnsiTheme="minorHAnsi" w:cstheme="minorHAnsi"/>
                <w:sz w:val="23"/>
                <w:szCs w:val="23"/>
              </w:rPr>
              <w:t>administrative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officials prior to </w:t>
            </w:r>
            <w:r w:rsidR="00053B9F" w:rsidRPr="005B36AF">
              <w:rPr>
                <w:rFonts w:asciiTheme="minorHAnsi" w:hAnsiTheme="minorHAnsi" w:cstheme="minorHAnsi"/>
                <w:sz w:val="23"/>
                <w:szCs w:val="23"/>
              </w:rPr>
              <w:t>posting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through the AARTF 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w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ebpage. </w:t>
            </w:r>
          </w:p>
          <w:p w14:paraId="01D9DFB8" w14:textId="6CCD654F" w:rsidR="009F5CEA" w:rsidRPr="005B36AF" w:rsidRDefault="009F5CEA" w:rsidP="00CC6333">
            <w:pPr>
              <w:pStyle w:val="Default"/>
              <w:ind w:left="36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Phase 2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847AD7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36A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January – February 2022 </w:t>
            </w:r>
          </w:p>
          <w:p w14:paraId="5F09187A" w14:textId="0BD36C75" w:rsidR="009F5CEA" w:rsidRPr="005B36AF" w:rsidRDefault="009F5CEA" w:rsidP="005B36AF">
            <w:pPr>
              <w:pStyle w:val="Default"/>
              <w:numPr>
                <w:ilvl w:val="0"/>
                <w:numId w:val="44"/>
              </w:numPr>
              <w:spacing w:after="120"/>
              <w:ind w:left="786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Will continue to build project awareness, engage, and validate draft recommendations. In Phase 2, engagement 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approaches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will 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include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requesting participants to validate the initial findings and identify gaps to strengthen the findings and recommendations prior to finalizing the report. </w:t>
            </w:r>
          </w:p>
          <w:p w14:paraId="6361CAEB" w14:textId="7E7750A6" w:rsidR="00A42CD6" w:rsidRPr="005B36AF" w:rsidRDefault="009F5CEA" w:rsidP="005B36AF">
            <w:pPr>
              <w:pStyle w:val="Default"/>
              <w:numPr>
                <w:ilvl w:val="0"/>
                <w:numId w:val="44"/>
              </w:numPr>
              <w:spacing w:after="120"/>
              <w:ind w:left="786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During Phase 2, two (2) in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person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(dependent on </w:t>
            </w:r>
            <w:r w:rsidR="00053B9F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public health 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>restrictions at that time)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open houses will be conducted to provide opportunity for participants to learn more about the </w:t>
            </w:r>
            <w:r w:rsidR="00053B9F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review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and findings</w:t>
            </w:r>
            <w:r w:rsidR="00A42CD6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/ recommendations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53B9F" w:rsidRPr="005B36AF">
              <w:rPr>
                <w:rFonts w:asciiTheme="minorHAnsi" w:hAnsiTheme="minorHAnsi" w:cstheme="minorHAnsi"/>
                <w:sz w:val="23"/>
                <w:szCs w:val="23"/>
              </w:rPr>
              <w:t>to date. Attendees may also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ask questions of the </w:t>
            </w:r>
            <w:r w:rsidR="00053B9F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Task Force members and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project team, and share their feedback on the key research findings, draft recommendations, </w:t>
            </w:r>
            <w:r w:rsidR="00A42CD6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and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potential gaps. </w:t>
            </w:r>
          </w:p>
          <w:p w14:paraId="1FC931AC" w14:textId="56CFB131" w:rsidR="009F5CEA" w:rsidRPr="005B36AF" w:rsidRDefault="00A42CD6" w:rsidP="005B36AF">
            <w:pPr>
              <w:pStyle w:val="Default"/>
              <w:numPr>
                <w:ilvl w:val="0"/>
                <w:numId w:val="44"/>
              </w:numPr>
              <w:spacing w:after="120"/>
              <w:ind w:left="786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9F5CE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second online survey will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also </w:t>
            </w:r>
            <w:r w:rsidR="009F5CEA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be available to provide an additional opportunity for participants unable to attend an in-person open house to review project information and share their feedback. </w:t>
            </w:r>
          </w:p>
          <w:p w14:paraId="3FB69252" w14:textId="6BD1FFF7" w:rsidR="005B36AF" w:rsidRPr="009C55FF" w:rsidRDefault="009F5CEA" w:rsidP="009C55FF">
            <w:pPr>
              <w:pStyle w:val="NoSpacing"/>
              <w:numPr>
                <w:ilvl w:val="0"/>
                <w:numId w:val="43"/>
              </w:numPr>
              <w:spacing w:after="120"/>
              <w:ind w:left="363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Once both phases of engagement are completed, all </w:t>
            </w:r>
            <w:r w:rsidR="00A42CD6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stakeholder inputs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will be reviewed, coded, 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and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analyzed. Summaries after each phase will be completed and used by the </w:t>
            </w:r>
            <w:r w:rsidR="00A42CD6" w:rsidRPr="005B36AF">
              <w:rPr>
                <w:rFonts w:asciiTheme="minorHAnsi" w:hAnsiTheme="minorHAnsi" w:cstheme="minorHAnsi"/>
                <w:sz w:val="23"/>
                <w:szCs w:val="23"/>
              </w:rPr>
              <w:t>Task Force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to validate findings as the project develops. These high-level engagement summaries will then be consolidated into a What We Heard 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eport which will detail the engagement process, 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>approaches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, and </w:t>
            </w:r>
            <w:r w:rsidR="00A42CD6" w:rsidRPr="005B36AF">
              <w:rPr>
                <w:rFonts w:asciiTheme="minorHAnsi" w:hAnsiTheme="minorHAnsi" w:cstheme="minorHAnsi"/>
                <w:sz w:val="23"/>
                <w:szCs w:val="23"/>
              </w:rPr>
              <w:t>inputs received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throughout the engagement process</w:t>
            </w:r>
            <w:r w:rsidR="00A42CD6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. The What We Heard 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A42CD6" w:rsidRPr="005B36AF">
              <w:rPr>
                <w:rFonts w:asciiTheme="minorHAnsi" w:hAnsiTheme="minorHAnsi" w:cstheme="minorHAnsi"/>
                <w:sz w:val="23"/>
                <w:szCs w:val="23"/>
              </w:rPr>
              <w:t>eport w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ill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be included in the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 xml:space="preserve"> Task Force’s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F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inal 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epor</w:t>
            </w:r>
            <w:r w:rsidR="005B36AF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6DE06B7" w14:textId="0259F358" w:rsidR="00F06FBD" w:rsidRPr="005B36AF" w:rsidRDefault="00F06FBD" w:rsidP="005B36AF">
            <w:pPr>
              <w:pStyle w:val="NoSpacing"/>
              <w:spacing w:after="6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External Communication</w:t>
            </w:r>
          </w:p>
          <w:p w14:paraId="41F4754A" w14:textId="725597A5" w:rsidR="00EA6378" w:rsidRDefault="00A42CD6" w:rsidP="00847AD7">
            <w:pPr>
              <w:pStyle w:val="NoSpacing"/>
              <w:numPr>
                <w:ilvl w:val="0"/>
                <w:numId w:val="43"/>
              </w:numPr>
              <w:spacing w:after="120"/>
              <w:ind w:left="363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If approved, t</w:t>
            </w:r>
            <w:r w:rsidR="00652E40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he AARTF PECP </w:t>
            </w:r>
            <w:r w:rsidR="00770E6C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will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provide direction to </w:t>
            </w:r>
            <w:r w:rsidR="00BC5109" w:rsidRPr="005B36AF">
              <w:rPr>
                <w:rFonts w:asciiTheme="minorHAnsi" w:hAnsiTheme="minorHAnsi" w:cstheme="minorHAnsi"/>
                <w:sz w:val="23"/>
                <w:szCs w:val="23"/>
              </w:rPr>
              <w:t>planned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engagement and communications activities (in two phases)</w:t>
            </w:r>
            <w:r w:rsidR="00770E6C" w:rsidRPr="005B36AF">
              <w:rPr>
                <w:rFonts w:asciiTheme="minorHAnsi" w:hAnsiTheme="minorHAnsi" w:cstheme="minorHAnsi"/>
                <w:sz w:val="23"/>
                <w:szCs w:val="23"/>
              </w:rPr>
              <w:t>, as noted above.</w:t>
            </w:r>
          </w:p>
          <w:p w14:paraId="58A78AF4" w14:textId="77777777" w:rsidR="009C55FF" w:rsidRPr="005B36AF" w:rsidRDefault="009C55FF" w:rsidP="009C55FF">
            <w:pPr>
              <w:pStyle w:val="NoSpacing"/>
              <w:spacing w:after="120"/>
              <w:ind w:left="363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90B3748" w14:textId="7FFEA133" w:rsidR="000B1A55" w:rsidRPr="005B36AF" w:rsidRDefault="00B1304C" w:rsidP="005B36AF">
            <w:pPr>
              <w:pStyle w:val="NoSpacing"/>
              <w:spacing w:after="6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lastRenderedPageBreak/>
              <w:t>Relevant Policy/Legislation/Practices:</w:t>
            </w:r>
          </w:p>
          <w:p w14:paraId="46CD4C2D" w14:textId="77777777" w:rsidR="009C55FF" w:rsidRDefault="001B7634" w:rsidP="005B36AF">
            <w:pPr>
              <w:pStyle w:val="NoSpacing"/>
              <w:numPr>
                <w:ilvl w:val="0"/>
                <w:numId w:val="43"/>
              </w:numPr>
              <w:spacing w:after="120"/>
              <w:ind w:left="363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Bylaw 1538/21 </w:t>
            </w:r>
            <w:r w:rsidR="00847AD7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-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Agribusiness and Agritourism Review Task Force</w:t>
            </w:r>
            <w:r w:rsidR="00847AD7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Bylaw</w:t>
            </w:r>
          </w:p>
          <w:p w14:paraId="7AE39E8C" w14:textId="61467A07" w:rsidR="009C55FF" w:rsidRDefault="009C55FF" w:rsidP="005B36AF">
            <w:pPr>
              <w:pStyle w:val="NoSpacing"/>
              <w:numPr>
                <w:ilvl w:val="0"/>
                <w:numId w:val="43"/>
              </w:numPr>
              <w:spacing w:after="120"/>
              <w:ind w:left="363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Bylaw </w:t>
            </w:r>
            <w:r w:rsidRPr="009C55FF">
              <w:rPr>
                <w:rFonts w:asciiTheme="minorHAnsi" w:hAnsiTheme="minorHAnsi" w:cstheme="minorHAnsi"/>
                <w:sz w:val="23"/>
                <w:szCs w:val="23"/>
              </w:rPr>
              <w:t>1313/13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="0054604D"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Sturgeon County </w:t>
            </w:r>
            <w:r w:rsidR="00A42CD6" w:rsidRPr="009C55FF">
              <w:rPr>
                <w:rFonts w:asciiTheme="minorHAnsi" w:hAnsiTheme="minorHAnsi" w:cstheme="minorHAnsi"/>
                <w:sz w:val="23"/>
                <w:szCs w:val="23"/>
              </w:rPr>
              <w:t>Municipal Development Plan</w:t>
            </w:r>
            <w:r w:rsidR="0019774E"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EA815C2" w14:textId="77777777" w:rsidR="009C55FF" w:rsidRDefault="009C55FF" w:rsidP="005B36AF">
            <w:pPr>
              <w:pStyle w:val="NoSpacing"/>
              <w:numPr>
                <w:ilvl w:val="0"/>
                <w:numId w:val="43"/>
              </w:numPr>
              <w:spacing w:after="120"/>
              <w:ind w:left="363" w:hanging="35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Bylaw </w:t>
            </w:r>
            <w:r w:rsidRPr="009C55FF">
              <w:rPr>
                <w:rFonts w:asciiTheme="minorHAnsi" w:hAnsiTheme="minorHAnsi" w:cstheme="minorHAnsi"/>
                <w:sz w:val="23"/>
                <w:szCs w:val="23"/>
              </w:rPr>
              <w:t>1385/17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="0054604D"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Sturgeon County </w:t>
            </w:r>
            <w:r w:rsidR="00A42CD6" w:rsidRPr="009C55FF">
              <w:rPr>
                <w:rFonts w:asciiTheme="minorHAnsi" w:hAnsiTheme="minorHAnsi" w:cstheme="minorHAnsi"/>
                <w:sz w:val="23"/>
                <w:szCs w:val="23"/>
              </w:rPr>
              <w:t>Land Use Bylaw</w:t>
            </w:r>
            <w:r w:rsidR="0019774E" w:rsidRPr="009C5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40B9D89A" w14:textId="7B809383" w:rsidR="00A42CD6" w:rsidRPr="009C55FF" w:rsidRDefault="00A42CD6" w:rsidP="005B36AF">
            <w:pPr>
              <w:pStyle w:val="NoSpacing"/>
              <w:numPr>
                <w:ilvl w:val="0"/>
                <w:numId w:val="43"/>
              </w:numPr>
              <w:spacing w:after="120"/>
              <w:ind w:left="363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9C55FF">
              <w:rPr>
                <w:rFonts w:asciiTheme="minorHAnsi" w:hAnsiTheme="minorHAnsi" w:cstheme="minorHAnsi"/>
                <w:sz w:val="23"/>
                <w:szCs w:val="23"/>
              </w:rPr>
              <w:t>Economic Development Master Plan</w:t>
            </w:r>
          </w:p>
        </w:tc>
      </w:tr>
      <w:tr w:rsidR="00546220" w:rsidRPr="00995A98" w14:paraId="1EC672DA" w14:textId="77777777" w:rsidTr="00DE7AAA">
        <w:trPr>
          <w:trHeight w:val="80"/>
        </w:trPr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6BC7CB77" w:rsidR="00546220" w:rsidRPr="009E2344" w:rsidRDefault="00546220" w:rsidP="00A65CE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61209FDC" w:rsidR="00546220" w:rsidRPr="005B36AF" w:rsidRDefault="00546220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237DC" w:rsidRPr="00995A98" w14:paraId="72A440FC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66474722" w:rsidR="00D237DC" w:rsidRPr="009E2344" w:rsidRDefault="00D237DC" w:rsidP="00937D3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Implication</w:t>
            </w:r>
            <w:r w:rsidR="00D94BC7"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3BCBB8E" w14:textId="04452BAE" w:rsidR="00D237DC" w:rsidRPr="005B36AF" w:rsidRDefault="00D237DC" w:rsidP="005B36AF">
            <w:pPr>
              <w:pStyle w:val="NoSpacing"/>
              <w:spacing w:after="6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Strategic Alignment:</w:t>
            </w:r>
          </w:p>
          <w:p w14:paraId="3E27DEE4" w14:textId="591EAF5B" w:rsidR="00C52696" w:rsidRPr="005B36AF" w:rsidRDefault="00604F06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Promoting an Integrated Economy</w:t>
            </w:r>
          </w:p>
          <w:p w14:paraId="29A655F1" w14:textId="0C27F88D" w:rsidR="00FB1BB3" w:rsidRPr="005B36AF" w:rsidRDefault="00FB1BB3" w:rsidP="00847AD7">
            <w:pPr>
              <w:pStyle w:val="ListParagraph"/>
              <w:numPr>
                <w:ilvl w:val="0"/>
                <w:numId w:val="28"/>
              </w:numPr>
              <w:spacing w:after="120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Goal </w:t>
            </w:r>
            <w:r w:rsidR="00604F06" w:rsidRPr="005B36AF">
              <w:rPr>
                <w:rFonts w:asciiTheme="minorHAnsi" w:hAnsiTheme="minorHAnsi" w:cstheme="minorHAnsi"/>
                <w:sz w:val="23"/>
                <w:szCs w:val="23"/>
              </w:rPr>
              <w:t>5.2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04F06" w:rsidRPr="005B36AF">
              <w:rPr>
                <w:rFonts w:asciiTheme="minorHAnsi" w:hAnsiTheme="minorHAnsi" w:cstheme="minorHAnsi"/>
                <w:sz w:val="23"/>
                <w:szCs w:val="23"/>
              </w:rPr>
              <w:t>Through collaborative partnerships that support Sturgeon County's emerging sectors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  <w:p w14:paraId="65BE758F" w14:textId="75F56259" w:rsidR="00FB1BB3" w:rsidRPr="005B36AF" w:rsidRDefault="00604F06" w:rsidP="00847AD7">
            <w:pPr>
              <w:pStyle w:val="ListParagraph"/>
              <w:spacing w:after="120"/>
              <w:ind w:left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The PECP provides support </w:t>
            </w:r>
            <w:r w:rsidR="00770E6C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for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existing and new agribusiness and agritourism business owners and operators to </w:t>
            </w:r>
            <w:r w:rsidR="00770E6C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provide input into a critical review and to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collaboratively develop supporting policy for growth within the sector. </w:t>
            </w:r>
          </w:p>
          <w:p w14:paraId="200056D9" w14:textId="318F344C" w:rsidR="00AB1738" w:rsidRPr="005B36AF" w:rsidRDefault="00AB1738" w:rsidP="005B36AF">
            <w:pPr>
              <w:pStyle w:val="NoSpacing"/>
              <w:spacing w:after="6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Organizational:</w:t>
            </w:r>
          </w:p>
          <w:p w14:paraId="0A50C5A6" w14:textId="69335E0F" w:rsidR="0046035C" w:rsidRPr="005B36AF" w:rsidRDefault="009601C6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Administration will </w:t>
            </w:r>
            <w:r w:rsidR="00770E6C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continue to support the Task Force in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coordinat</w:t>
            </w:r>
            <w:r w:rsidR="00770E6C" w:rsidRPr="005B36AF">
              <w:rPr>
                <w:rFonts w:asciiTheme="minorHAnsi" w:hAnsiTheme="minorHAnsi" w:cstheme="minorHAnsi"/>
                <w:sz w:val="23"/>
                <w:szCs w:val="23"/>
              </w:rPr>
              <w:t>ing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the advertising and required information for </w:t>
            </w:r>
            <w:r w:rsidR="001D523F" w:rsidRPr="005B36AF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hase 1 and </w:t>
            </w:r>
            <w:r w:rsidR="001D523F" w:rsidRPr="005B36AF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>hase 2 of the PECP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E9797AF" w14:textId="312359C8" w:rsidR="00AB1738" w:rsidRPr="005B36AF" w:rsidRDefault="00AB1738" w:rsidP="005B36AF">
            <w:pPr>
              <w:pStyle w:val="NoSpacing"/>
              <w:spacing w:after="6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Financial:</w:t>
            </w:r>
          </w:p>
          <w:p w14:paraId="1BED1DFD" w14:textId="1F1B530A" w:rsidR="00D237DC" w:rsidRPr="005B36AF" w:rsidRDefault="00770E6C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The c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>ost of</w:t>
            </w:r>
            <w:r w:rsidR="009601C6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advertising of the 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>engagement activities</w:t>
            </w:r>
            <w:r w:rsidR="009601C6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in local newspapers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has been included within the approved project budget</w:t>
            </w:r>
            <w:r w:rsidR="009601C6" w:rsidRPr="005B36A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995A98" w:rsidRPr="00995A98" w14:paraId="2BCE6B63" w14:textId="77777777" w:rsidTr="00243B96">
        <w:trPr>
          <w:trHeight w:val="80"/>
        </w:trPr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E2344" w:rsidRDefault="00995A9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5B36AF" w:rsidRDefault="00995A98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237DC" w:rsidRPr="00995A98" w14:paraId="37FC6622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3C5FFE23" w:rsidR="00D237DC" w:rsidRPr="009E2344" w:rsidRDefault="00D237D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10E87173" w:rsidR="00A938C1" w:rsidRPr="005B36AF" w:rsidRDefault="00584A03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Council </w:t>
            </w:r>
            <w:r w:rsidR="00150FFD" w:rsidRPr="005B36AF">
              <w:rPr>
                <w:rFonts w:asciiTheme="minorHAnsi" w:hAnsiTheme="minorHAnsi" w:cstheme="minorHAnsi"/>
                <w:sz w:val="23"/>
                <w:szCs w:val="23"/>
              </w:rPr>
              <w:t>may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direct </w:t>
            </w:r>
            <w:r w:rsidR="00770E6C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the Task Force 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to not move forward with the proposed engagement activities within the </w:t>
            </w:r>
            <w:r w:rsidR="001D523F" w:rsidRPr="005B36AF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ECP. </w:t>
            </w:r>
          </w:p>
        </w:tc>
      </w:tr>
      <w:tr w:rsidR="00D237DC" w:rsidRPr="00995A98" w14:paraId="34549706" w14:textId="77777777" w:rsidTr="00E9069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E2344" w:rsidRDefault="00D237DC" w:rsidP="00937D3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0645B993" w:rsidR="00A938C1" w:rsidRPr="005B36AF" w:rsidRDefault="00A938C1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237DC" w:rsidRPr="00995A98" w14:paraId="354C8815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E2344" w:rsidRDefault="00D237D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3C1AD3B7" w14:textId="77777777" w:rsidR="00AB1738" w:rsidRPr="005B36AF" w:rsidRDefault="00AB1738" w:rsidP="005B36AF">
            <w:pPr>
              <w:pStyle w:val="NoSpacing"/>
              <w:spacing w:after="6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Strategic Alignment: </w:t>
            </w:r>
          </w:p>
          <w:p w14:paraId="70F8ED1F" w14:textId="0BE51A3C" w:rsidR="0059567B" w:rsidRPr="005B36AF" w:rsidRDefault="009601C6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If Council </w:t>
            </w:r>
            <w:r w:rsidR="009E2344" w:rsidRPr="005B36AF">
              <w:rPr>
                <w:rFonts w:asciiTheme="minorHAnsi" w:hAnsiTheme="minorHAnsi" w:cstheme="minorHAnsi"/>
                <w:sz w:val="23"/>
                <w:szCs w:val="23"/>
              </w:rPr>
              <w:t>does not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approve the PECP as presented, engagement would not move forward for the </w:t>
            </w:r>
            <w:r w:rsidR="00770E6C" w:rsidRPr="005B36AF">
              <w:rPr>
                <w:rFonts w:asciiTheme="minorHAnsi" w:hAnsiTheme="minorHAnsi" w:cstheme="minorHAnsi"/>
                <w:sz w:val="23"/>
                <w:szCs w:val="23"/>
              </w:rPr>
              <w:t>review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which 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would </w:t>
            </w:r>
            <w:r w:rsidR="00770E6C" w:rsidRPr="005B36AF">
              <w:rPr>
                <w:rFonts w:asciiTheme="minorHAnsi" w:hAnsiTheme="minorHAnsi" w:cstheme="minorHAnsi"/>
                <w:sz w:val="23"/>
                <w:szCs w:val="23"/>
              </w:rPr>
              <w:t>impair the Task Force’s ability to deliver informed recommendations, unless alternative engagement methods are identified.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F11F32B" w14:textId="77777777" w:rsidR="00AB1738" w:rsidRPr="005B36AF" w:rsidRDefault="00AB1738" w:rsidP="005B36AF">
            <w:pPr>
              <w:pStyle w:val="NoSpacing"/>
              <w:spacing w:after="6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Organizational:</w:t>
            </w:r>
          </w:p>
          <w:p w14:paraId="3663A926" w14:textId="7EB05C48" w:rsidR="000B5ED0" w:rsidRPr="005B36AF" w:rsidRDefault="00770E6C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If Council does not support the PECP, the Task Force would seek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to find alternative engagement activities which better align with Council</w:t>
            </w:r>
            <w:r w:rsidR="00DB0088" w:rsidRPr="005B36AF">
              <w:rPr>
                <w:rFonts w:asciiTheme="minorHAnsi" w:hAnsiTheme="minorHAnsi" w:cstheme="minorHAnsi"/>
                <w:sz w:val="23"/>
                <w:szCs w:val="23"/>
              </w:rPr>
              <w:t>’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s vision. </w:t>
            </w:r>
            <w:r w:rsidR="009601C6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043103C" w14:textId="77777777" w:rsidR="00AB1738" w:rsidRPr="005B36AF" w:rsidRDefault="00AB1738" w:rsidP="005B36AF">
            <w:pPr>
              <w:pStyle w:val="NoSpacing"/>
              <w:spacing w:after="6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Financial:</w:t>
            </w:r>
          </w:p>
          <w:p w14:paraId="555191A0" w14:textId="13E2E414" w:rsidR="00D237DC" w:rsidRPr="005B36AF" w:rsidRDefault="00770E6C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If advertising costs are not supported, those costs may be available to re-purpose.</w:t>
            </w:r>
          </w:p>
        </w:tc>
      </w:tr>
      <w:tr w:rsidR="006023C3" w:rsidRPr="00995A98" w14:paraId="3E537BB0" w14:textId="77777777" w:rsidTr="00AB1738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E2344" w:rsidRDefault="006023C3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5B36AF" w:rsidRDefault="006023C3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23978" w:rsidRPr="00995A98" w14:paraId="25034931" w14:textId="77777777" w:rsidTr="00AB1738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CE568" w14:textId="77777777" w:rsidR="00323978" w:rsidRPr="009E2344" w:rsidRDefault="0032397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24ACBB" w14:textId="4BB49E2D" w:rsidR="00323978" w:rsidRPr="005B36AF" w:rsidRDefault="00770E6C" w:rsidP="00847AD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Support the Task Force in</w:t>
            </w:r>
            <w:r w:rsidR="009601C6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scheduling and advertising the </w:t>
            </w:r>
            <w:r w:rsidR="001B7634" w:rsidRPr="005B36AF">
              <w:rPr>
                <w:rFonts w:asciiTheme="minorHAnsi" w:hAnsiTheme="minorHAnsi" w:cstheme="minorHAnsi"/>
                <w:sz w:val="23"/>
                <w:szCs w:val="23"/>
              </w:rPr>
              <w:t>Phase 1 Engagement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(Planning and Development Services / </w:t>
            </w:r>
            <w:r w:rsidR="00BC5109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Economic Development Services / 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Corporate Communications, October 2021)</w:t>
            </w:r>
            <w:r w:rsidR="009601C6" w:rsidRPr="005B36A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CC0A5D" w:rsidRPr="00995A98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E2344" w:rsidRDefault="00CC0A5D" w:rsidP="009601C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5B36AF" w:rsidRDefault="00CC0A5D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</w:p>
        </w:tc>
      </w:tr>
    </w:tbl>
    <w:p w14:paraId="490C1609" w14:textId="04B947B5" w:rsidR="005B36AF" w:rsidRDefault="005B36AF"/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323978" w:rsidRPr="00995A98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1ECA1172" w:rsidR="00323978" w:rsidRPr="009E2344" w:rsidRDefault="0032397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t>Attachment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C4E29D5" w14:textId="77777777" w:rsidR="00167D7F" w:rsidRDefault="009C55FF" w:rsidP="009C55FF">
            <w:pPr>
              <w:pStyle w:val="BodyText"/>
              <w:numPr>
                <w:ilvl w:val="0"/>
                <w:numId w:val="45"/>
              </w:numPr>
              <w:tabs>
                <w:tab w:val="right" w:pos="5016"/>
              </w:tabs>
              <w:spacing w:after="0" w:line="240" w:lineRule="auto"/>
              <w:ind w:left="361"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Bylaw 1538/21 - Agribusiness and Agritourism Review Task Force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Bylaw</w:t>
            </w:r>
          </w:p>
          <w:p w14:paraId="2011A24A" w14:textId="5F3FC3FA" w:rsidR="005B36AF" w:rsidRPr="009C55FF" w:rsidRDefault="00D93AD1" w:rsidP="009C55FF">
            <w:pPr>
              <w:pStyle w:val="BodyText"/>
              <w:numPr>
                <w:ilvl w:val="0"/>
                <w:numId w:val="45"/>
              </w:numPr>
              <w:tabs>
                <w:tab w:val="right" w:pos="5016"/>
              </w:tabs>
              <w:spacing w:after="0" w:line="240" w:lineRule="auto"/>
              <w:ind w:left="361"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Agribusiness and Agritourism Review Public Engagement and Communication Plan</w:t>
            </w:r>
          </w:p>
        </w:tc>
      </w:tr>
      <w:tr w:rsidR="00323978" w:rsidRPr="00995A98" w14:paraId="56199574" w14:textId="77777777" w:rsidTr="00FB69F3">
        <w:trPr>
          <w:trHeight w:val="107"/>
        </w:trPr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E2344" w:rsidRDefault="0032397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5B36AF" w:rsidRDefault="00323978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23978" w:rsidRPr="00995A98" w14:paraId="476BD852" w14:textId="77777777" w:rsidTr="00907A1B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E2344" w:rsidRDefault="0032397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E2344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4D999D5" w14:textId="77777777" w:rsidR="003B762F" w:rsidRPr="005B36AF" w:rsidRDefault="003B762F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7257A28" w14:textId="77777777" w:rsidR="003B762F" w:rsidRPr="005B36AF" w:rsidRDefault="001D21E7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Natasha De Sandi, Planning and Engagement Officer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>, Planning and Development Services</w:t>
            </w:r>
          </w:p>
          <w:p w14:paraId="78659220" w14:textId="77777777" w:rsidR="00D43520" w:rsidRPr="005B36AF" w:rsidRDefault="00D43520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6420704" w14:textId="2A0E6FC9" w:rsidR="00D93AD1" w:rsidRPr="005B36AF" w:rsidRDefault="00D43520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Leanne McBean, Business Retention and Expansion Lead, Economic Development</w:t>
            </w:r>
            <w:r w:rsidR="005B36AF">
              <w:rPr>
                <w:rFonts w:asciiTheme="minorHAnsi" w:hAnsiTheme="minorHAnsi" w:cstheme="minorHAnsi"/>
                <w:sz w:val="23"/>
                <w:szCs w:val="23"/>
              </w:rPr>
              <w:t xml:space="preserve"> Services</w:t>
            </w:r>
          </w:p>
          <w:p w14:paraId="5A6EF203" w14:textId="77777777" w:rsidR="00D43520" w:rsidRPr="005B36AF" w:rsidRDefault="00D43520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4B139E1" w14:textId="77777777" w:rsidR="00D93AD1" w:rsidRPr="005B36AF" w:rsidRDefault="00D93AD1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Tyler Westover, Manager, Economic Development Services</w:t>
            </w:r>
          </w:p>
          <w:p w14:paraId="5131D502" w14:textId="703D8F59" w:rsidR="00B027C5" w:rsidRPr="005B36AF" w:rsidRDefault="001D21E7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3056C66" w14:textId="5EFBFA02" w:rsidR="00937D30" w:rsidRPr="005B36AF" w:rsidRDefault="001D21E7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Bonnie McInnis, Manager, Planning and Development Services </w:t>
            </w:r>
          </w:p>
          <w:p w14:paraId="7EF49D0B" w14:textId="77777777" w:rsidR="003B762F" w:rsidRPr="005B36AF" w:rsidRDefault="003B762F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A9D69BA" w14:textId="395CF8D7" w:rsidR="00B027C5" w:rsidRPr="005B36AF" w:rsidRDefault="00B027C5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Travis Peter, Director</w:t>
            </w:r>
            <w:r w:rsidR="00AE56AD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Development </w:t>
            </w:r>
            <w:r w:rsidR="003B762F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and Strategic </w:t>
            </w: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Services</w:t>
            </w:r>
          </w:p>
          <w:p w14:paraId="3EC31A36" w14:textId="77777777" w:rsidR="00DB0088" w:rsidRPr="005B36AF" w:rsidRDefault="00DB0088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8DBE84F" w14:textId="6A530345" w:rsidR="00323978" w:rsidRPr="005B36AF" w:rsidRDefault="009D268F" w:rsidP="00847AD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B36AF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B027C5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eegan McCullough, County Commissioner 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>–</w:t>
            </w:r>
            <w:r w:rsidR="00B027C5" w:rsidRPr="005B36AF">
              <w:rPr>
                <w:rFonts w:asciiTheme="minorHAnsi" w:hAnsiTheme="minorHAnsi" w:cstheme="minorHAnsi"/>
                <w:sz w:val="23"/>
                <w:szCs w:val="23"/>
              </w:rPr>
              <w:t xml:space="preserve"> CAO</w:t>
            </w:r>
            <w:r w:rsidR="009C5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 w14:paraId="0F568F6B" w14:textId="7844AB8A" w:rsidR="005201F1" w:rsidRPr="00C52FA7" w:rsidRDefault="00E979B7" w:rsidP="00DD0291">
      <w:pPr>
        <w:spacing w:after="60"/>
        <w:jc w:val="both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DD029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DD029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DD029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E23B1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5B36A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DD0291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5B36A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17496903" w14:textId="77777777" w:rsidR="008675A1" w:rsidRDefault="008675A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4807F997" w:rsidR="008675A1" w:rsidRPr="00995A98" w:rsidRDefault="006F744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1D8C1253" w:rsidR="008675A1" w:rsidRPr="00995A98" w:rsidRDefault="006F7441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8675A1" w:rsidRPr="00995A98" w14:paraId="04C95C7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25FBFF0F" w:rsidR="008675A1" w:rsidRPr="00995A98" w:rsidRDefault="008F5B12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2F955D88" w:rsidR="008675A1" w:rsidRPr="00995A98" w:rsidRDefault="00937D30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53806B48" w:rsidR="008675A1" w:rsidRPr="00995A98" w:rsidRDefault="00937D30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10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713831BC" w:rsidR="007E42F4" w:rsidRPr="00995A98" w:rsidRDefault="00043D15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6363A834" w:rsidR="007E42F4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63EB3FE" w:rsidR="007E42F4" w:rsidRPr="00995A98" w:rsidRDefault="00EA6378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DD0291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policies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7F00FC39" w:rsidR="00290B0D" w:rsidRPr="00995A98" w:rsidRDefault="00290B0D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582F8C7C" w:rsidR="00290B0D" w:rsidRPr="00995A98" w:rsidRDefault="00AA06BC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DD0291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7CF01C91" w:rsidR="00290B0D" w:rsidRDefault="00EA6378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45A3DE52" w:rsidR="00290B0D" w:rsidRDefault="00290B0D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3B76CE2F" w:rsidR="00290B0D" w:rsidRDefault="00EA6378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bookmarkEnd w:id="10"/>
      <w:tr w:rsidR="007E42F4" w:rsidRPr="00995A98" w14:paraId="4F8E299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DD0291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5B36A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20F86BC8" w14:textId="77777777" w:rsidR="00C805A9" w:rsidRDefault="007E42F4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8"/>
              <w:jc w:val="both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8"/>
              <w:jc w:val="both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13E89EEC" w:rsidR="007E42F4" w:rsidRPr="00995A98" w:rsidRDefault="00F2315B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7FD967B1" w:rsidR="007E42F4" w:rsidRPr="00995A98" w:rsidRDefault="00F2315B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7899C2B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166E0AA8" w:rsidR="007E42F4" w:rsidRPr="00995A98" w:rsidRDefault="00F2315B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2CC33B14" w:rsidR="007E42F4" w:rsidRPr="00995A98" w:rsidRDefault="00F2315B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43439B" w:rsidRPr="00995A98" w14:paraId="0C92938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31AC4F2E" w:rsidR="0043439B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1D5B7917" w:rsidR="0043439B" w:rsidRPr="00995A98" w:rsidRDefault="00EA6378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28CE5FD7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4FD815BE" w:rsidR="007E42F4" w:rsidRPr="00995A98" w:rsidRDefault="00F2315B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688E3404" w:rsidR="007E42F4" w:rsidRPr="00995A98" w:rsidRDefault="00F2315B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4B9E5E78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5B36A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77777777" w:rsidR="005201F1" w:rsidRPr="00995A98" w:rsidRDefault="005201F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6DB28035" w:rsidR="005201F1" w:rsidRPr="00995A98" w:rsidRDefault="00AA06BC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5680E6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DD0291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77777777" w:rsidR="005201F1" w:rsidRPr="00995A98" w:rsidRDefault="005201F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77CFFFB1" w:rsidR="005201F1" w:rsidRPr="00995A98" w:rsidRDefault="00AA06BC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FD75943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DD0291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422F4BAA" w:rsidR="005201F1" w:rsidRPr="00995A98" w:rsidRDefault="006F744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70AEEED2" w:rsidR="005201F1" w:rsidRPr="00995A98" w:rsidRDefault="006F7441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66E39DEE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DD0291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57B5F54A" w:rsidR="005201F1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07ABD990" w:rsidR="005201F1" w:rsidRPr="00995A98" w:rsidRDefault="00EA6378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0B6C3DA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DD0291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5B36A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75BA1C3A" w:rsidR="0068496D" w:rsidRPr="00995A98" w:rsidRDefault="006F744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7C2E1F6C" w:rsidR="0068496D" w:rsidRPr="00995A98" w:rsidRDefault="006F7441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339F501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22B89AEE" w:rsidR="0068496D" w:rsidRPr="00995A98" w:rsidRDefault="006F744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63ABBC84" w:rsidR="0068496D" w:rsidRPr="00995A98" w:rsidRDefault="006F7441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2B97C78C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3AF4E1A3" w:rsidR="0068496D" w:rsidRPr="00995A98" w:rsidRDefault="002B18AE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7777777" w:rsidR="0068496D" w:rsidRPr="00995A98" w:rsidRDefault="0068496D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5198E1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847AD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5B36A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77777777" w:rsidR="005201F1" w:rsidRPr="00995A98" w:rsidRDefault="005201F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13CFF9AE" w:rsidR="005201F1" w:rsidRPr="00995A98" w:rsidRDefault="002B18AE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CFD47A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77777777" w:rsidR="005201F1" w:rsidRPr="00995A98" w:rsidRDefault="005201F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7299A95C" w:rsidR="005201F1" w:rsidRPr="00995A98" w:rsidRDefault="002B18AE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A174F1" w:rsidRPr="00995A98" w14:paraId="7AE9908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DD0291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847AD7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7AE4FA26" w:rsidR="00A174F1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FFF6EF4" w:rsidR="00A174F1" w:rsidRPr="00995A98" w:rsidRDefault="00EA6378" w:rsidP="005B36A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</w:tbl>
    <w:p w14:paraId="0D9C3106" w14:textId="77777777" w:rsidR="001D1544" w:rsidRPr="001D1544" w:rsidRDefault="001D1544" w:rsidP="001D1544">
      <w:pPr>
        <w:rPr>
          <w:rFonts w:asciiTheme="minorHAnsi" w:hAnsiTheme="minorHAnsi" w:cstheme="minorHAnsi"/>
          <w:sz w:val="20"/>
          <w:szCs w:val="20"/>
        </w:rPr>
      </w:pPr>
    </w:p>
    <w:sectPr w:rsidR="001D1544" w:rsidRPr="001D1544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CC31" w14:textId="77777777" w:rsidR="004937D4" w:rsidRDefault="004937D4">
      <w:r>
        <w:separator/>
      </w:r>
    </w:p>
  </w:endnote>
  <w:endnote w:type="continuationSeparator" w:id="0">
    <w:p w14:paraId="048C2F95" w14:textId="77777777" w:rsidR="004937D4" w:rsidRDefault="0049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02D" w14:textId="7521F399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604F06">
      <w:rPr>
        <w:rFonts w:asciiTheme="minorHAnsi" w:hAnsiTheme="minorHAnsi"/>
        <w:b w:val="0"/>
        <w:bCs/>
        <w:color w:val="999999"/>
        <w:sz w:val="20"/>
      </w:rPr>
      <w:t>August 25</w:t>
    </w:r>
    <w:r w:rsidR="00234C82">
      <w:rPr>
        <w:rFonts w:asciiTheme="minorHAnsi" w:hAnsiTheme="minorHAnsi"/>
        <w:b w:val="0"/>
        <w:bCs/>
        <w:color w:val="999999"/>
        <w:sz w:val="20"/>
      </w:rPr>
      <w:t>, 202</w:t>
    </w:r>
    <w:r w:rsidR="00604F06">
      <w:rPr>
        <w:rFonts w:asciiTheme="minorHAnsi" w:hAnsiTheme="minorHAnsi"/>
        <w:b w:val="0"/>
        <w:bCs/>
        <w:color w:val="999999"/>
        <w:sz w:val="20"/>
      </w:rPr>
      <w:t>1</w:t>
    </w:r>
  </w:p>
  <w:p w14:paraId="4515F142" w14:textId="4634650A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473329">
      <w:rPr>
        <w:rFonts w:asciiTheme="minorHAnsi" w:hAnsiTheme="minorHAnsi"/>
        <w:b w:val="0"/>
        <w:bCs/>
        <w:color w:val="999999"/>
        <w:sz w:val="20"/>
      </w:rPr>
      <w:t xml:space="preserve">September </w:t>
    </w:r>
    <w:r w:rsidR="00604F06">
      <w:rPr>
        <w:rFonts w:asciiTheme="minorHAnsi" w:hAnsiTheme="minorHAnsi"/>
        <w:b w:val="0"/>
        <w:bCs/>
        <w:color w:val="999999"/>
        <w:sz w:val="20"/>
      </w:rPr>
      <w:t>14</w:t>
    </w:r>
    <w:r>
      <w:rPr>
        <w:rFonts w:asciiTheme="minorHAnsi" w:hAnsiTheme="minorHAnsi"/>
        <w:b w:val="0"/>
        <w:bCs/>
        <w:color w:val="999999"/>
        <w:sz w:val="20"/>
      </w:rPr>
      <w:t>, 20</w:t>
    </w:r>
    <w:r w:rsidR="00E13B4E">
      <w:rPr>
        <w:rFonts w:asciiTheme="minorHAnsi" w:hAnsiTheme="minorHAnsi"/>
        <w:b w:val="0"/>
        <w:bCs/>
        <w:color w:val="999999"/>
        <w:sz w:val="20"/>
      </w:rPr>
      <w:t>2</w:t>
    </w:r>
    <w:r w:rsidR="00604F06">
      <w:rPr>
        <w:rFonts w:asciiTheme="minorHAnsi" w:hAnsiTheme="minorHAnsi"/>
        <w:b w:val="0"/>
        <w:bCs/>
        <w:color w:val="999999"/>
        <w:sz w:val="20"/>
      </w:rPr>
      <w:t>1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2C0B" w14:textId="77777777" w:rsidR="004937D4" w:rsidRDefault="004937D4">
      <w:r>
        <w:separator/>
      </w:r>
    </w:p>
  </w:footnote>
  <w:footnote w:type="continuationSeparator" w:id="0">
    <w:p w14:paraId="5BBD33FB" w14:textId="77777777" w:rsidR="004937D4" w:rsidRDefault="0049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B6D"/>
    <w:multiLevelType w:val="hybridMultilevel"/>
    <w:tmpl w:val="17AC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42E"/>
    <w:multiLevelType w:val="hybridMultilevel"/>
    <w:tmpl w:val="962A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348F"/>
    <w:multiLevelType w:val="hybridMultilevel"/>
    <w:tmpl w:val="147E98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775C"/>
    <w:multiLevelType w:val="hybridMultilevel"/>
    <w:tmpl w:val="9A2C02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5CE0"/>
    <w:multiLevelType w:val="hybridMultilevel"/>
    <w:tmpl w:val="B7303EFC"/>
    <w:lvl w:ilvl="0" w:tplc="BC7A38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0777"/>
    <w:multiLevelType w:val="hybridMultilevel"/>
    <w:tmpl w:val="2E0267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11BDB"/>
    <w:multiLevelType w:val="hybridMultilevel"/>
    <w:tmpl w:val="A0F8D1A6"/>
    <w:lvl w:ilvl="0" w:tplc="BC7A38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3178"/>
    <w:multiLevelType w:val="hybridMultilevel"/>
    <w:tmpl w:val="E0000AE6"/>
    <w:lvl w:ilvl="0" w:tplc="82BA9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A14BA"/>
    <w:multiLevelType w:val="hybridMultilevel"/>
    <w:tmpl w:val="AA6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4C34"/>
    <w:multiLevelType w:val="hybridMultilevel"/>
    <w:tmpl w:val="3344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60B7A"/>
    <w:multiLevelType w:val="hybridMultilevel"/>
    <w:tmpl w:val="16564CB6"/>
    <w:lvl w:ilvl="0" w:tplc="BC7A38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E57B5"/>
    <w:multiLevelType w:val="hybridMultilevel"/>
    <w:tmpl w:val="23886538"/>
    <w:lvl w:ilvl="0" w:tplc="E06046CE">
      <w:start w:val="6"/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  <w:color w:val="auto"/>
      </w:rPr>
    </w:lvl>
    <w:lvl w:ilvl="1" w:tplc="10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C03477E"/>
    <w:multiLevelType w:val="hybridMultilevel"/>
    <w:tmpl w:val="BF0A68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B2AC3"/>
    <w:multiLevelType w:val="hybridMultilevel"/>
    <w:tmpl w:val="7842F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5EF1"/>
    <w:multiLevelType w:val="hybridMultilevel"/>
    <w:tmpl w:val="2B46A2C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E91673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C7B9E"/>
    <w:multiLevelType w:val="hybridMultilevel"/>
    <w:tmpl w:val="6C046EE4"/>
    <w:lvl w:ilvl="0" w:tplc="BC7A38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63A0520">
      <w:numFmt w:val="bullet"/>
      <w:lvlText w:val="−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1065"/>
    <w:multiLevelType w:val="hybridMultilevel"/>
    <w:tmpl w:val="F36861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32257"/>
    <w:multiLevelType w:val="hybridMultilevel"/>
    <w:tmpl w:val="409E60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13C9E"/>
    <w:multiLevelType w:val="hybridMultilevel"/>
    <w:tmpl w:val="2642010E"/>
    <w:lvl w:ilvl="0" w:tplc="10090001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18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E56FE"/>
    <w:multiLevelType w:val="hybridMultilevel"/>
    <w:tmpl w:val="384652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3252B8"/>
    <w:multiLevelType w:val="hybridMultilevel"/>
    <w:tmpl w:val="5ED68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61DCC"/>
    <w:multiLevelType w:val="hybridMultilevel"/>
    <w:tmpl w:val="8B5A5C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355221"/>
    <w:multiLevelType w:val="multilevel"/>
    <w:tmpl w:val="2F0C4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7" w15:restartNumberingAfterBreak="0">
    <w:nsid w:val="677544DC"/>
    <w:multiLevelType w:val="hybridMultilevel"/>
    <w:tmpl w:val="F2CE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E0559"/>
    <w:multiLevelType w:val="hybridMultilevel"/>
    <w:tmpl w:val="C242D8B4"/>
    <w:lvl w:ilvl="0" w:tplc="EBB87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E91673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91530"/>
    <w:multiLevelType w:val="hybridMultilevel"/>
    <w:tmpl w:val="0E2049FC"/>
    <w:lvl w:ilvl="0" w:tplc="BC7A38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71226"/>
    <w:multiLevelType w:val="hybridMultilevel"/>
    <w:tmpl w:val="5B1CBDF2"/>
    <w:lvl w:ilvl="0" w:tplc="9B603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756EE"/>
    <w:multiLevelType w:val="multilevel"/>
    <w:tmpl w:val="2F0C4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4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C60E4"/>
    <w:multiLevelType w:val="hybridMultilevel"/>
    <w:tmpl w:val="B03EBD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4"/>
  </w:num>
  <w:num w:numId="5">
    <w:abstractNumId w:val="3"/>
  </w:num>
  <w:num w:numId="6">
    <w:abstractNumId w:val="18"/>
  </w:num>
  <w:num w:numId="7">
    <w:abstractNumId w:val="35"/>
  </w:num>
  <w:num w:numId="8">
    <w:abstractNumId w:val="33"/>
  </w:num>
  <w:num w:numId="9">
    <w:abstractNumId w:val="34"/>
  </w:num>
  <w:num w:numId="10">
    <w:abstractNumId w:val="40"/>
  </w:num>
  <w:num w:numId="11">
    <w:abstractNumId w:val="2"/>
  </w:num>
  <w:num w:numId="12">
    <w:abstractNumId w:val="44"/>
  </w:num>
  <w:num w:numId="13">
    <w:abstractNumId w:val="27"/>
  </w:num>
  <w:num w:numId="14">
    <w:abstractNumId w:val="39"/>
  </w:num>
  <w:num w:numId="15">
    <w:abstractNumId w:val="21"/>
  </w:num>
  <w:num w:numId="16">
    <w:abstractNumId w:val="11"/>
  </w:num>
  <w:num w:numId="17">
    <w:abstractNumId w:val="9"/>
  </w:num>
  <w:num w:numId="18">
    <w:abstractNumId w:val="29"/>
  </w:num>
  <w:num w:numId="19">
    <w:abstractNumId w:val="30"/>
  </w:num>
  <w:num w:numId="20">
    <w:abstractNumId w:val="45"/>
  </w:num>
  <w:num w:numId="21">
    <w:abstractNumId w:val="20"/>
  </w:num>
  <w:num w:numId="22">
    <w:abstractNumId w:val="38"/>
  </w:num>
  <w:num w:numId="23">
    <w:abstractNumId w:val="4"/>
  </w:num>
  <w:num w:numId="24">
    <w:abstractNumId w:val="25"/>
  </w:num>
  <w:num w:numId="25">
    <w:abstractNumId w:val="1"/>
  </w:num>
  <w:num w:numId="26">
    <w:abstractNumId w:val="31"/>
  </w:num>
  <w:num w:numId="27">
    <w:abstractNumId w:val="0"/>
  </w:num>
  <w:num w:numId="28">
    <w:abstractNumId w:val="13"/>
  </w:num>
  <w:num w:numId="29">
    <w:abstractNumId w:val="16"/>
  </w:num>
  <w:num w:numId="30">
    <w:abstractNumId w:val="37"/>
  </w:num>
  <w:num w:numId="31">
    <w:abstractNumId w:val="8"/>
  </w:num>
  <w:num w:numId="32">
    <w:abstractNumId w:val="1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2"/>
  </w:num>
  <w:num w:numId="36">
    <w:abstractNumId w:val="24"/>
  </w:num>
  <w:num w:numId="37">
    <w:abstractNumId w:val="17"/>
  </w:num>
  <w:num w:numId="38">
    <w:abstractNumId w:val="41"/>
  </w:num>
  <w:num w:numId="39">
    <w:abstractNumId w:val="12"/>
  </w:num>
  <w:num w:numId="40">
    <w:abstractNumId w:val="7"/>
  </w:num>
  <w:num w:numId="41">
    <w:abstractNumId w:val="43"/>
  </w:num>
  <w:num w:numId="42">
    <w:abstractNumId w:val="32"/>
  </w:num>
  <w:num w:numId="43">
    <w:abstractNumId w:val="42"/>
  </w:num>
  <w:num w:numId="44">
    <w:abstractNumId w:val="23"/>
  </w:num>
  <w:num w:numId="45">
    <w:abstractNumId w:val="6"/>
  </w:num>
  <w:num w:numId="4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328C5"/>
    <w:rsid w:val="00035A0B"/>
    <w:rsid w:val="00035E3B"/>
    <w:rsid w:val="00042538"/>
    <w:rsid w:val="000429B5"/>
    <w:rsid w:val="00042A61"/>
    <w:rsid w:val="00043D11"/>
    <w:rsid w:val="00043D15"/>
    <w:rsid w:val="00044C12"/>
    <w:rsid w:val="00046AA2"/>
    <w:rsid w:val="00050BCD"/>
    <w:rsid w:val="00053B9F"/>
    <w:rsid w:val="00055F3B"/>
    <w:rsid w:val="00065AE5"/>
    <w:rsid w:val="00075F5C"/>
    <w:rsid w:val="00077129"/>
    <w:rsid w:val="000835DE"/>
    <w:rsid w:val="0008714B"/>
    <w:rsid w:val="00093AA5"/>
    <w:rsid w:val="0009523B"/>
    <w:rsid w:val="00095363"/>
    <w:rsid w:val="00095A83"/>
    <w:rsid w:val="000972D1"/>
    <w:rsid w:val="00097F04"/>
    <w:rsid w:val="000A6820"/>
    <w:rsid w:val="000A74B2"/>
    <w:rsid w:val="000A7828"/>
    <w:rsid w:val="000B118C"/>
    <w:rsid w:val="000B1A55"/>
    <w:rsid w:val="000B5ED0"/>
    <w:rsid w:val="000C15DF"/>
    <w:rsid w:val="000D0A39"/>
    <w:rsid w:val="000D7AB4"/>
    <w:rsid w:val="000E190B"/>
    <w:rsid w:val="000E2E08"/>
    <w:rsid w:val="000F197D"/>
    <w:rsid w:val="000F5525"/>
    <w:rsid w:val="00101776"/>
    <w:rsid w:val="001040CD"/>
    <w:rsid w:val="001046DF"/>
    <w:rsid w:val="001202E4"/>
    <w:rsid w:val="00121DDD"/>
    <w:rsid w:val="00124814"/>
    <w:rsid w:val="001308E8"/>
    <w:rsid w:val="00141F5B"/>
    <w:rsid w:val="00142DD5"/>
    <w:rsid w:val="001448FA"/>
    <w:rsid w:val="00150FFD"/>
    <w:rsid w:val="001525A6"/>
    <w:rsid w:val="0016307C"/>
    <w:rsid w:val="00167BED"/>
    <w:rsid w:val="00167D7F"/>
    <w:rsid w:val="00170E32"/>
    <w:rsid w:val="00173249"/>
    <w:rsid w:val="00175C6D"/>
    <w:rsid w:val="0018386A"/>
    <w:rsid w:val="001848A0"/>
    <w:rsid w:val="0018529E"/>
    <w:rsid w:val="00190BA7"/>
    <w:rsid w:val="00192122"/>
    <w:rsid w:val="00194938"/>
    <w:rsid w:val="0019774E"/>
    <w:rsid w:val="001A05D7"/>
    <w:rsid w:val="001A0E91"/>
    <w:rsid w:val="001A3DD6"/>
    <w:rsid w:val="001B0CCB"/>
    <w:rsid w:val="001B202F"/>
    <w:rsid w:val="001B7634"/>
    <w:rsid w:val="001C134D"/>
    <w:rsid w:val="001C679E"/>
    <w:rsid w:val="001D1544"/>
    <w:rsid w:val="001D1AED"/>
    <w:rsid w:val="001D21E7"/>
    <w:rsid w:val="001D28FD"/>
    <w:rsid w:val="001D3828"/>
    <w:rsid w:val="001D523F"/>
    <w:rsid w:val="001D6ED1"/>
    <w:rsid w:val="001E1B0A"/>
    <w:rsid w:val="001E6A2D"/>
    <w:rsid w:val="001E79C9"/>
    <w:rsid w:val="001F34B7"/>
    <w:rsid w:val="001F5060"/>
    <w:rsid w:val="00200AE3"/>
    <w:rsid w:val="00202F3A"/>
    <w:rsid w:val="00205473"/>
    <w:rsid w:val="0020674A"/>
    <w:rsid w:val="00211667"/>
    <w:rsid w:val="00211D4B"/>
    <w:rsid w:val="00213E75"/>
    <w:rsid w:val="002158FF"/>
    <w:rsid w:val="00221B7C"/>
    <w:rsid w:val="00222101"/>
    <w:rsid w:val="002250EE"/>
    <w:rsid w:val="00226F0D"/>
    <w:rsid w:val="00233416"/>
    <w:rsid w:val="00234C82"/>
    <w:rsid w:val="00236A8F"/>
    <w:rsid w:val="00241F15"/>
    <w:rsid w:val="00243B96"/>
    <w:rsid w:val="00245E2C"/>
    <w:rsid w:val="002514FB"/>
    <w:rsid w:val="00251751"/>
    <w:rsid w:val="002601A2"/>
    <w:rsid w:val="00263EFA"/>
    <w:rsid w:val="00271BE2"/>
    <w:rsid w:val="00280178"/>
    <w:rsid w:val="002815F5"/>
    <w:rsid w:val="00286002"/>
    <w:rsid w:val="00290B0D"/>
    <w:rsid w:val="002974F2"/>
    <w:rsid w:val="002A0A6A"/>
    <w:rsid w:val="002B109A"/>
    <w:rsid w:val="002B18AE"/>
    <w:rsid w:val="002C5B78"/>
    <w:rsid w:val="002D5DC2"/>
    <w:rsid w:val="002E398E"/>
    <w:rsid w:val="002E540D"/>
    <w:rsid w:val="002F39E5"/>
    <w:rsid w:val="0030162C"/>
    <w:rsid w:val="00304ECA"/>
    <w:rsid w:val="00305A9E"/>
    <w:rsid w:val="00305F54"/>
    <w:rsid w:val="00306725"/>
    <w:rsid w:val="00306935"/>
    <w:rsid w:val="0032153A"/>
    <w:rsid w:val="00322882"/>
    <w:rsid w:val="00323978"/>
    <w:rsid w:val="00324BEC"/>
    <w:rsid w:val="00334904"/>
    <w:rsid w:val="00335992"/>
    <w:rsid w:val="003413D0"/>
    <w:rsid w:val="0034208B"/>
    <w:rsid w:val="003439C5"/>
    <w:rsid w:val="00346F67"/>
    <w:rsid w:val="00353FC5"/>
    <w:rsid w:val="00367EE4"/>
    <w:rsid w:val="00370364"/>
    <w:rsid w:val="0037196E"/>
    <w:rsid w:val="003751B2"/>
    <w:rsid w:val="0037552B"/>
    <w:rsid w:val="003770A8"/>
    <w:rsid w:val="003853BE"/>
    <w:rsid w:val="0039117E"/>
    <w:rsid w:val="003936D8"/>
    <w:rsid w:val="00394141"/>
    <w:rsid w:val="003951D7"/>
    <w:rsid w:val="003973AF"/>
    <w:rsid w:val="00397440"/>
    <w:rsid w:val="003A3593"/>
    <w:rsid w:val="003A37AD"/>
    <w:rsid w:val="003A42DA"/>
    <w:rsid w:val="003A46D3"/>
    <w:rsid w:val="003B74CB"/>
    <w:rsid w:val="003B756B"/>
    <w:rsid w:val="003B762F"/>
    <w:rsid w:val="003C224D"/>
    <w:rsid w:val="003C6C5D"/>
    <w:rsid w:val="003C729B"/>
    <w:rsid w:val="003D063E"/>
    <w:rsid w:val="003E6787"/>
    <w:rsid w:val="003F14A9"/>
    <w:rsid w:val="003F27FC"/>
    <w:rsid w:val="003F328C"/>
    <w:rsid w:val="003F5DEF"/>
    <w:rsid w:val="00406A37"/>
    <w:rsid w:val="00407577"/>
    <w:rsid w:val="00410AD4"/>
    <w:rsid w:val="00410EE0"/>
    <w:rsid w:val="00411863"/>
    <w:rsid w:val="00414EE1"/>
    <w:rsid w:val="00416FE1"/>
    <w:rsid w:val="004208EB"/>
    <w:rsid w:val="00426A42"/>
    <w:rsid w:val="00434208"/>
    <w:rsid w:val="0043439B"/>
    <w:rsid w:val="00436127"/>
    <w:rsid w:val="00445C9E"/>
    <w:rsid w:val="00454159"/>
    <w:rsid w:val="0046035C"/>
    <w:rsid w:val="00460EC8"/>
    <w:rsid w:val="00461A8C"/>
    <w:rsid w:val="00463E6B"/>
    <w:rsid w:val="00473329"/>
    <w:rsid w:val="00482731"/>
    <w:rsid w:val="004937D4"/>
    <w:rsid w:val="004A2C24"/>
    <w:rsid w:val="004A31DF"/>
    <w:rsid w:val="004B61AE"/>
    <w:rsid w:val="004D01B2"/>
    <w:rsid w:val="004D13A7"/>
    <w:rsid w:val="004D411A"/>
    <w:rsid w:val="004D4494"/>
    <w:rsid w:val="004D7C21"/>
    <w:rsid w:val="004E02C8"/>
    <w:rsid w:val="004E285A"/>
    <w:rsid w:val="004E2D44"/>
    <w:rsid w:val="004E4C16"/>
    <w:rsid w:val="004F02E8"/>
    <w:rsid w:val="004F333F"/>
    <w:rsid w:val="0050204C"/>
    <w:rsid w:val="00507198"/>
    <w:rsid w:val="00515742"/>
    <w:rsid w:val="005201F1"/>
    <w:rsid w:val="005211F8"/>
    <w:rsid w:val="0052158F"/>
    <w:rsid w:val="0052471D"/>
    <w:rsid w:val="00524967"/>
    <w:rsid w:val="005251FD"/>
    <w:rsid w:val="00526683"/>
    <w:rsid w:val="005314F4"/>
    <w:rsid w:val="00532DD4"/>
    <w:rsid w:val="005349BF"/>
    <w:rsid w:val="0054604D"/>
    <w:rsid w:val="00546220"/>
    <w:rsid w:val="00547FE8"/>
    <w:rsid w:val="00550564"/>
    <w:rsid w:val="00562E77"/>
    <w:rsid w:val="00564E9C"/>
    <w:rsid w:val="005655BF"/>
    <w:rsid w:val="00566A54"/>
    <w:rsid w:val="0057125F"/>
    <w:rsid w:val="00571759"/>
    <w:rsid w:val="00574452"/>
    <w:rsid w:val="0058262F"/>
    <w:rsid w:val="00584A03"/>
    <w:rsid w:val="00585FC3"/>
    <w:rsid w:val="0058631F"/>
    <w:rsid w:val="0059567B"/>
    <w:rsid w:val="005A0861"/>
    <w:rsid w:val="005A169B"/>
    <w:rsid w:val="005A6C92"/>
    <w:rsid w:val="005B2325"/>
    <w:rsid w:val="005B36AF"/>
    <w:rsid w:val="005B5A0D"/>
    <w:rsid w:val="005B5E44"/>
    <w:rsid w:val="005B68CA"/>
    <w:rsid w:val="005D114D"/>
    <w:rsid w:val="005D1C0D"/>
    <w:rsid w:val="005D776C"/>
    <w:rsid w:val="005E4B38"/>
    <w:rsid w:val="005E626E"/>
    <w:rsid w:val="005E7C9C"/>
    <w:rsid w:val="005F0217"/>
    <w:rsid w:val="005F4D56"/>
    <w:rsid w:val="005F5A3D"/>
    <w:rsid w:val="005F7308"/>
    <w:rsid w:val="00601194"/>
    <w:rsid w:val="00601AEE"/>
    <w:rsid w:val="0060226A"/>
    <w:rsid w:val="006023C3"/>
    <w:rsid w:val="00602885"/>
    <w:rsid w:val="00604F06"/>
    <w:rsid w:val="006053B6"/>
    <w:rsid w:val="00607938"/>
    <w:rsid w:val="00607E9B"/>
    <w:rsid w:val="00620206"/>
    <w:rsid w:val="00623D05"/>
    <w:rsid w:val="00625F0B"/>
    <w:rsid w:val="00634C1B"/>
    <w:rsid w:val="00636010"/>
    <w:rsid w:val="00644A99"/>
    <w:rsid w:val="00652E40"/>
    <w:rsid w:val="006634C1"/>
    <w:rsid w:val="00664295"/>
    <w:rsid w:val="00672200"/>
    <w:rsid w:val="0067613E"/>
    <w:rsid w:val="00680D9F"/>
    <w:rsid w:val="006829F7"/>
    <w:rsid w:val="0068496D"/>
    <w:rsid w:val="006862F7"/>
    <w:rsid w:val="00692CA5"/>
    <w:rsid w:val="00694F2A"/>
    <w:rsid w:val="00696DD6"/>
    <w:rsid w:val="006A1244"/>
    <w:rsid w:val="006A347E"/>
    <w:rsid w:val="006B2655"/>
    <w:rsid w:val="006B37F4"/>
    <w:rsid w:val="006C22C0"/>
    <w:rsid w:val="006C418E"/>
    <w:rsid w:val="006D336A"/>
    <w:rsid w:val="006D4BF5"/>
    <w:rsid w:val="006D57FB"/>
    <w:rsid w:val="006E28AA"/>
    <w:rsid w:val="006E2CAB"/>
    <w:rsid w:val="006E6B6E"/>
    <w:rsid w:val="006E7AC5"/>
    <w:rsid w:val="006F077A"/>
    <w:rsid w:val="006F189C"/>
    <w:rsid w:val="006F34C1"/>
    <w:rsid w:val="006F7441"/>
    <w:rsid w:val="0070601B"/>
    <w:rsid w:val="00710FFE"/>
    <w:rsid w:val="0071284E"/>
    <w:rsid w:val="00717859"/>
    <w:rsid w:val="00721780"/>
    <w:rsid w:val="00732700"/>
    <w:rsid w:val="007415D3"/>
    <w:rsid w:val="00741697"/>
    <w:rsid w:val="007418E8"/>
    <w:rsid w:val="007429A1"/>
    <w:rsid w:val="00745013"/>
    <w:rsid w:val="007454B7"/>
    <w:rsid w:val="00745E02"/>
    <w:rsid w:val="00745E2B"/>
    <w:rsid w:val="00751AAB"/>
    <w:rsid w:val="00751D0C"/>
    <w:rsid w:val="00752714"/>
    <w:rsid w:val="00754654"/>
    <w:rsid w:val="00757020"/>
    <w:rsid w:val="0076108C"/>
    <w:rsid w:val="00770E6C"/>
    <w:rsid w:val="007910CD"/>
    <w:rsid w:val="00795D07"/>
    <w:rsid w:val="007961DA"/>
    <w:rsid w:val="00796DE8"/>
    <w:rsid w:val="007A3D46"/>
    <w:rsid w:val="007B2527"/>
    <w:rsid w:val="007B3D10"/>
    <w:rsid w:val="007B4182"/>
    <w:rsid w:val="007C26A8"/>
    <w:rsid w:val="007C38A0"/>
    <w:rsid w:val="007C490E"/>
    <w:rsid w:val="007C69F2"/>
    <w:rsid w:val="007C6DFB"/>
    <w:rsid w:val="007C7236"/>
    <w:rsid w:val="007C7413"/>
    <w:rsid w:val="007D0FAD"/>
    <w:rsid w:val="007D153E"/>
    <w:rsid w:val="007D4D5C"/>
    <w:rsid w:val="007D7849"/>
    <w:rsid w:val="007E0FE2"/>
    <w:rsid w:val="007E42F4"/>
    <w:rsid w:val="007E6CDA"/>
    <w:rsid w:val="007F173A"/>
    <w:rsid w:val="007F3457"/>
    <w:rsid w:val="00815FC9"/>
    <w:rsid w:val="008202D5"/>
    <w:rsid w:val="0083066C"/>
    <w:rsid w:val="008314BE"/>
    <w:rsid w:val="00837FF1"/>
    <w:rsid w:val="008418CE"/>
    <w:rsid w:val="00841B45"/>
    <w:rsid w:val="008465EE"/>
    <w:rsid w:val="00847AD7"/>
    <w:rsid w:val="00854B04"/>
    <w:rsid w:val="008577F7"/>
    <w:rsid w:val="008654B0"/>
    <w:rsid w:val="00865C96"/>
    <w:rsid w:val="008675A1"/>
    <w:rsid w:val="0087132E"/>
    <w:rsid w:val="00876FFA"/>
    <w:rsid w:val="008824D5"/>
    <w:rsid w:val="00887818"/>
    <w:rsid w:val="00892A3C"/>
    <w:rsid w:val="00895684"/>
    <w:rsid w:val="00896CDE"/>
    <w:rsid w:val="008A337C"/>
    <w:rsid w:val="008B00D5"/>
    <w:rsid w:val="008B12A0"/>
    <w:rsid w:val="008B47A7"/>
    <w:rsid w:val="008B5DBE"/>
    <w:rsid w:val="008E06B8"/>
    <w:rsid w:val="008E140E"/>
    <w:rsid w:val="008E2CCE"/>
    <w:rsid w:val="008F0889"/>
    <w:rsid w:val="008F5B12"/>
    <w:rsid w:val="008F74F3"/>
    <w:rsid w:val="00902000"/>
    <w:rsid w:val="00910450"/>
    <w:rsid w:val="0091072C"/>
    <w:rsid w:val="00914E4A"/>
    <w:rsid w:val="0091535F"/>
    <w:rsid w:val="009155A1"/>
    <w:rsid w:val="00924D4B"/>
    <w:rsid w:val="00925E61"/>
    <w:rsid w:val="00937D30"/>
    <w:rsid w:val="00940FD8"/>
    <w:rsid w:val="0094290E"/>
    <w:rsid w:val="009438F8"/>
    <w:rsid w:val="0095170A"/>
    <w:rsid w:val="00952915"/>
    <w:rsid w:val="00956CBB"/>
    <w:rsid w:val="009601C6"/>
    <w:rsid w:val="00964F15"/>
    <w:rsid w:val="00966A65"/>
    <w:rsid w:val="00975691"/>
    <w:rsid w:val="009813E2"/>
    <w:rsid w:val="0098498A"/>
    <w:rsid w:val="00990948"/>
    <w:rsid w:val="00991E0B"/>
    <w:rsid w:val="00992937"/>
    <w:rsid w:val="00992D45"/>
    <w:rsid w:val="00995A98"/>
    <w:rsid w:val="009A43FC"/>
    <w:rsid w:val="009A6A22"/>
    <w:rsid w:val="009B672E"/>
    <w:rsid w:val="009C3FEF"/>
    <w:rsid w:val="009C55FF"/>
    <w:rsid w:val="009D145D"/>
    <w:rsid w:val="009D268F"/>
    <w:rsid w:val="009D435A"/>
    <w:rsid w:val="009E2344"/>
    <w:rsid w:val="009E4C7E"/>
    <w:rsid w:val="009F5513"/>
    <w:rsid w:val="009F5CEA"/>
    <w:rsid w:val="00A174F1"/>
    <w:rsid w:val="00A17759"/>
    <w:rsid w:val="00A17AE4"/>
    <w:rsid w:val="00A26503"/>
    <w:rsid w:val="00A306A0"/>
    <w:rsid w:val="00A42CD6"/>
    <w:rsid w:val="00A43A93"/>
    <w:rsid w:val="00A44FB1"/>
    <w:rsid w:val="00A5090F"/>
    <w:rsid w:val="00A514B9"/>
    <w:rsid w:val="00A527C4"/>
    <w:rsid w:val="00A554B7"/>
    <w:rsid w:val="00A5595D"/>
    <w:rsid w:val="00A61D76"/>
    <w:rsid w:val="00A651F5"/>
    <w:rsid w:val="00A65CED"/>
    <w:rsid w:val="00A70DB6"/>
    <w:rsid w:val="00A73C79"/>
    <w:rsid w:val="00A75467"/>
    <w:rsid w:val="00A7593F"/>
    <w:rsid w:val="00A82A30"/>
    <w:rsid w:val="00A938C1"/>
    <w:rsid w:val="00A94DCD"/>
    <w:rsid w:val="00AA06BC"/>
    <w:rsid w:val="00AA3545"/>
    <w:rsid w:val="00AA3FC3"/>
    <w:rsid w:val="00AA4C7A"/>
    <w:rsid w:val="00AA5EC5"/>
    <w:rsid w:val="00AA6C56"/>
    <w:rsid w:val="00AA702D"/>
    <w:rsid w:val="00AB1738"/>
    <w:rsid w:val="00AB2778"/>
    <w:rsid w:val="00AB77B6"/>
    <w:rsid w:val="00AC0034"/>
    <w:rsid w:val="00AC21F2"/>
    <w:rsid w:val="00AD2A95"/>
    <w:rsid w:val="00AD4615"/>
    <w:rsid w:val="00AE0152"/>
    <w:rsid w:val="00AE1071"/>
    <w:rsid w:val="00AE56AD"/>
    <w:rsid w:val="00B00A0A"/>
    <w:rsid w:val="00B027C5"/>
    <w:rsid w:val="00B03676"/>
    <w:rsid w:val="00B04D8C"/>
    <w:rsid w:val="00B1304C"/>
    <w:rsid w:val="00B20DB5"/>
    <w:rsid w:val="00B215D9"/>
    <w:rsid w:val="00B26058"/>
    <w:rsid w:val="00B26225"/>
    <w:rsid w:val="00B2766F"/>
    <w:rsid w:val="00B4148F"/>
    <w:rsid w:val="00B41C7A"/>
    <w:rsid w:val="00B44B8D"/>
    <w:rsid w:val="00B537B7"/>
    <w:rsid w:val="00B5663F"/>
    <w:rsid w:val="00B670F2"/>
    <w:rsid w:val="00B72930"/>
    <w:rsid w:val="00B72C87"/>
    <w:rsid w:val="00B75380"/>
    <w:rsid w:val="00B85225"/>
    <w:rsid w:val="00B8593D"/>
    <w:rsid w:val="00B87778"/>
    <w:rsid w:val="00B9216D"/>
    <w:rsid w:val="00B9527F"/>
    <w:rsid w:val="00BB1517"/>
    <w:rsid w:val="00BB2A6E"/>
    <w:rsid w:val="00BC3DAA"/>
    <w:rsid w:val="00BC49CA"/>
    <w:rsid w:val="00BC4AF8"/>
    <w:rsid w:val="00BC5109"/>
    <w:rsid w:val="00BC5AC3"/>
    <w:rsid w:val="00BD33DA"/>
    <w:rsid w:val="00BE15C9"/>
    <w:rsid w:val="00BF3302"/>
    <w:rsid w:val="00C00AA1"/>
    <w:rsid w:val="00C02B01"/>
    <w:rsid w:val="00C130E9"/>
    <w:rsid w:val="00C14EEB"/>
    <w:rsid w:val="00C229B1"/>
    <w:rsid w:val="00C36C13"/>
    <w:rsid w:val="00C433CD"/>
    <w:rsid w:val="00C52696"/>
    <w:rsid w:val="00C52BE7"/>
    <w:rsid w:val="00C52FA7"/>
    <w:rsid w:val="00C61C05"/>
    <w:rsid w:val="00C62EB6"/>
    <w:rsid w:val="00C62F5E"/>
    <w:rsid w:val="00C805A9"/>
    <w:rsid w:val="00C82387"/>
    <w:rsid w:val="00C84232"/>
    <w:rsid w:val="00C8731C"/>
    <w:rsid w:val="00C91BC9"/>
    <w:rsid w:val="00C96967"/>
    <w:rsid w:val="00CA4300"/>
    <w:rsid w:val="00CB2213"/>
    <w:rsid w:val="00CB2F2D"/>
    <w:rsid w:val="00CB3C92"/>
    <w:rsid w:val="00CC0A5D"/>
    <w:rsid w:val="00CC6333"/>
    <w:rsid w:val="00CC7707"/>
    <w:rsid w:val="00CD1120"/>
    <w:rsid w:val="00CD1941"/>
    <w:rsid w:val="00CE0109"/>
    <w:rsid w:val="00CE5AF3"/>
    <w:rsid w:val="00CF27C6"/>
    <w:rsid w:val="00CF45B8"/>
    <w:rsid w:val="00D01131"/>
    <w:rsid w:val="00D02EDE"/>
    <w:rsid w:val="00D10FAD"/>
    <w:rsid w:val="00D1263D"/>
    <w:rsid w:val="00D15F38"/>
    <w:rsid w:val="00D20C46"/>
    <w:rsid w:val="00D21E35"/>
    <w:rsid w:val="00D2364E"/>
    <w:rsid w:val="00D237DC"/>
    <w:rsid w:val="00D24656"/>
    <w:rsid w:val="00D26F10"/>
    <w:rsid w:val="00D33E3B"/>
    <w:rsid w:val="00D35182"/>
    <w:rsid w:val="00D35A11"/>
    <w:rsid w:val="00D41218"/>
    <w:rsid w:val="00D43520"/>
    <w:rsid w:val="00D4452B"/>
    <w:rsid w:val="00D52562"/>
    <w:rsid w:val="00D545F3"/>
    <w:rsid w:val="00D6632F"/>
    <w:rsid w:val="00D676AE"/>
    <w:rsid w:val="00D71FB0"/>
    <w:rsid w:val="00D7306E"/>
    <w:rsid w:val="00D77E75"/>
    <w:rsid w:val="00D81514"/>
    <w:rsid w:val="00D82562"/>
    <w:rsid w:val="00D85653"/>
    <w:rsid w:val="00D93AD1"/>
    <w:rsid w:val="00D9454D"/>
    <w:rsid w:val="00D94BC7"/>
    <w:rsid w:val="00D97C8E"/>
    <w:rsid w:val="00DA1079"/>
    <w:rsid w:val="00DA20C7"/>
    <w:rsid w:val="00DA29C5"/>
    <w:rsid w:val="00DA7462"/>
    <w:rsid w:val="00DB0088"/>
    <w:rsid w:val="00DB4209"/>
    <w:rsid w:val="00DB71F7"/>
    <w:rsid w:val="00DC051C"/>
    <w:rsid w:val="00DD0291"/>
    <w:rsid w:val="00DD2BC7"/>
    <w:rsid w:val="00DD576C"/>
    <w:rsid w:val="00DD67B8"/>
    <w:rsid w:val="00DD6EF0"/>
    <w:rsid w:val="00DE0E09"/>
    <w:rsid w:val="00DE2600"/>
    <w:rsid w:val="00DE2C0D"/>
    <w:rsid w:val="00DE4BF4"/>
    <w:rsid w:val="00DE7982"/>
    <w:rsid w:val="00DE7AAA"/>
    <w:rsid w:val="00DF3065"/>
    <w:rsid w:val="00DF31A6"/>
    <w:rsid w:val="00DF392F"/>
    <w:rsid w:val="00DF5B58"/>
    <w:rsid w:val="00E0183B"/>
    <w:rsid w:val="00E035F4"/>
    <w:rsid w:val="00E06100"/>
    <w:rsid w:val="00E13B4E"/>
    <w:rsid w:val="00E172EB"/>
    <w:rsid w:val="00E22352"/>
    <w:rsid w:val="00E2574F"/>
    <w:rsid w:val="00E345FC"/>
    <w:rsid w:val="00E479A3"/>
    <w:rsid w:val="00E502E4"/>
    <w:rsid w:val="00E52909"/>
    <w:rsid w:val="00E55594"/>
    <w:rsid w:val="00E56320"/>
    <w:rsid w:val="00E64549"/>
    <w:rsid w:val="00E67341"/>
    <w:rsid w:val="00E701F7"/>
    <w:rsid w:val="00E7106B"/>
    <w:rsid w:val="00E71E82"/>
    <w:rsid w:val="00E765AE"/>
    <w:rsid w:val="00E76C00"/>
    <w:rsid w:val="00E77550"/>
    <w:rsid w:val="00E81E50"/>
    <w:rsid w:val="00E86CF2"/>
    <w:rsid w:val="00E9281E"/>
    <w:rsid w:val="00E93F6A"/>
    <w:rsid w:val="00E979B7"/>
    <w:rsid w:val="00EA0380"/>
    <w:rsid w:val="00EA0C5C"/>
    <w:rsid w:val="00EA282D"/>
    <w:rsid w:val="00EA457D"/>
    <w:rsid w:val="00EA5513"/>
    <w:rsid w:val="00EA5AD3"/>
    <w:rsid w:val="00EA6378"/>
    <w:rsid w:val="00EC79C2"/>
    <w:rsid w:val="00ED08FD"/>
    <w:rsid w:val="00ED178D"/>
    <w:rsid w:val="00ED6677"/>
    <w:rsid w:val="00EE2F1B"/>
    <w:rsid w:val="00EE4830"/>
    <w:rsid w:val="00EF579C"/>
    <w:rsid w:val="00F022E9"/>
    <w:rsid w:val="00F032B0"/>
    <w:rsid w:val="00F06FBD"/>
    <w:rsid w:val="00F13141"/>
    <w:rsid w:val="00F14AD7"/>
    <w:rsid w:val="00F168A5"/>
    <w:rsid w:val="00F172A4"/>
    <w:rsid w:val="00F17838"/>
    <w:rsid w:val="00F21DF5"/>
    <w:rsid w:val="00F2315B"/>
    <w:rsid w:val="00F40663"/>
    <w:rsid w:val="00F4181F"/>
    <w:rsid w:val="00F41D8D"/>
    <w:rsid w:val="00F43911"/>
    <w:rsid w:val="00F460A6"/>
    <w:rsid w:val="00F468F8"/>
    <w:rsid w:val="00F5266E"/>
    <w:rsid w:val="00F54796"/>
    <w:rsid w:val="00F60F12"/>
    <w:rsid w:val="00F60F1B"/>
    <w:rsid w:val="00F6527D"/>
    <w:rsid w:val="00F7350C"/>
    <w:rsid w:val="00F7421E"/>
    <w:rsid w:val="00F752FF"/>
    <w:rsid w:val="00F82C93"/>
    <w:rsid w:val="00F83AB2"/>
    <w:rsid w:val="00F85AA4"/>
    <w:rsid w:val="00F95566"/>
    <w:rsid w:val="00FA228B"/>
    <w:rsid w:val="00FB0DFE"/>
    <w:rsid w:val="00FB118C"/>
    <w:rsid w:val="00FB1BB3"/>
    <w:rsid w:val="00FB69F3"/>
    <w:rsid w:val="00FC3E06"/>
    <w:rsid w:val="00FD0AAE"/>
    <w:rsid w:val="00FD1263"/>
    <w:rsid w:val="00FE6126"/>
    <w:rsid w:val="00FE6166"/>
    <w:rsid w:val="00FE7361"/>
    <w:rsid w:val="00FF0168"/>
    <w:rsid w:val="00FF135D"/>
    <w:rsid w:val="00FF23A3"/>
    <w:rsid w:val="00FF372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paragraph" w:styleId="NoSpacing">
    <w:name w:val="No Spacing"/>
    <w:uiPriority w:val="1"/>
    <w:qFormat/>
    <w:rsid w:val="00AB1738"/>
    <w:rPr>
      <w:rFonts w:ascii="Arial" w:hAnsi="Arial"/>
      <w:sz w:val="22"/>
      <w:szCs w:val="24"/>
    </w:rPr>
  </w:style>
  <w:style w:type="character" w:customStyle="1" w:styleId="MessageHeaderLabel">
    <w:name w:val="Message Header Label"/>
    <w:rsid w:val="00815FC9"/>
    <w:rPr>
      <w:rFonts w:ascii="Arial Black" w:hAnsi="Arial Black"/>
      <w:spacing w:val="-10"/>
      <w:sz w:val="18"/>
    </w:rPr>
  </w:style>
  <w:style w:type="paragraph" w:customStyle="1" w:styleId="Default">
    <w:name w:val="Default"/>
    <w:rsid w:val="009F5C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39790E-54D9-4512-9F85-59F7D1327A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Jesse Sopko</cp:lastModifiedBy>
  <cp:revision>6</cp:revision>
  <cp:lastPrinted>2012-04-12T21:53:00Z</cp:lastPrinted>
  <dcterms:created xsi:type="dcterms:W3CDTF">2021-09-10T17:07:00Z</dcterms:created>
  <dcterms:modified xsi:type="dcterms:W3CDTF">2021-09-10T20:39:00Z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